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279A5">
      <w:pPr>
        <w:keepNext/>
        <w:keepLines/>
        <w:widowControl w:val="0"/>
        <w:spacing w:before="0" w:after="0" w:line="240" w:lineRule="auto"/>
        <w:jc w:val="center"/>
        <w:outlineLvl w:val="0"/>
        <w:rPr>
          <w:rFonts w:hint="eastAsia" w:ascii="华文中宋" w:hAnsi="华文中宋" w:eastAsia="华文中宋" w:cs="华文中宋"/>
          <w:b w:val="0"/>
          <w:bCs/>
          <w:color w:val="auto"/>
          <w:kern w:val="44"/>
          <w:sz w:val="36"/>
          <w:szCs w:val="36"/>
          <w:lang w:val="en-US" w:eastAsia="zh-CN" w:bidi="ar-SA"/>
        </w:rPr>
      </w:pPr>
      <w:bookmarkStart w:id="0" w:name="_GoBack"/>
      <w:bookmarkEnd w:id="0"/>
      <w:r>
        <w:rPr>
          <w:rFonts w:hint="eastAsia" w:ascii="华文中宋" w:hAnsi="华文中宋" w:eastAsia="华文中宋" w:cs="华文中宋"/>
          <w:b w:val="0"/>
          <w:bCs/>
          <w:color w:val="auto"/>
          <w:kern w:val="44"/>
          <w:sz w:val="36"/>
          <w:szCs w:val="36"/>
          <w:lang w:val="en-US" w:eastAsia="zh-CN" w:bidi="ar-SA"/>
        </w:rPr>
        <w:t>《电子商务数据标识规范》（征求意见稿）</w:t>
      </w:r>
    </w:p>
    <w:p w14:paraId="27F197EB">
      <w:pPr>
        <w:keepNext/>
        <w:keepLines/>
        <w:widowControl w:val="0"/>
        <w:spacing w:before="0" w:after="0" w:line="240" w:lineRule="auto"/>
        <w:jc w:val="center"/>
        <w:outlineLvl w:val="0"/>
        <w:rPr>
          <w:rFonts w:hint="eastAsia" w:ascii="华文中宋" w:hAnsi="华文中宋" w:eastAsia="华文中宋" w:cs="华文中宋"/>
          <w:b w:val="0"/>
          <w:bCs/>
          <w:color w:val="auto"/>
          <w:kern w:val="44"/>
          <w:sz w:val="36"/>
          <w:szCs w:val="36"/>
          <w:lang w:val="en-US" w:eastAsia="zh-CN" w:bidi="ar-SA"/>
        </w:rPr>
      </w:pPr>
      <w:r>
        <w:rPr>
          <w:rFonts w:hint="eastAsia" w:ascii="华文中宋" w:hAnsi="华文中宋" w:eastAsia="华文中宋" w:cs="华文中宋"/>
          <w:b w:val="0"/>
          <w:bCs/>
          <w:color w:val="auto"/>
          <w:kern w:val="44"/>
          <w:sz w:val="36"/>
          <w:szCs w:val="36"/>
          <w:lang w:val="en-US" w:eastAsia="zh-CN" w:bidi="ar-SA"/>
        </w:rPr>
        <w:t>编制说明</w:t>
      </w:r>
    </w:p>
    <w:p w14:paraId="1E969F2F">
      <w:pPr>
        <w:spacing w:line="360" w:lineRule="auto"/>
        <w:ind w:firstLine="640" w:firstLineChars="200"/>
        <w:rPr>
          <w:rFonts w:hint="eastAsia" w:ascii="仿宋_GB2312" w:hAnsi="仿宋_GB2312" w:eastAsia="仿宋_GB2312" w:cs="仿宋_GB2312"/>
          <w:b w:val="0"/>
          <w:bCs w:val="0"/>
          <w:color w:val="auto"/>
          <w:sz w:val="32"/>
          <w:szCs w:val="24"/>
          <w:lang w:eastAsia="zh-CN"/>
        </w:rPr>
      </w:pPr>
    </w:p>
    <w:p w14:paraId="54EF265C">
      <w:pPr>
        <w:pStyle w:val="2"/>
        <w:bidi w:val="0"/>
        <w:rPr>
          <w:color w:val="auto"/>
        </w:rPr>
      </w:pPr>
      <w:r>
        <w:rPr>
          <w:rFonts w:hint="eastAsia"/>
          <w:color w:val="auto"/>
        </w:rPr>
        <w:t>一、工作简况</w:t>
      </w:r>
    </w:p>
    <w:p w14:paraId="0D8AB7DE">
      <w:pPr>
        <w:pStyle w:val="3"/>
        <w:bidi w:val="0"/>
        <w:rPr>
          <w:rFonts w:hint="eastAsia"/>
          <w:color w:val="auto"/>
        </w:rPr>
      </w:pPr>
      <w:r>
        <w:rPr>
          <w:rFonts w:hint="eastAsia"/>
          <w:color w:val="auto"/>
        </w:rPr>
        <w:t>（一）行业发展现状</w:t>
      </w:r>
    </w:p>
    <w:p w14:paraId="3AFBD49D">
      <w:pPr>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中国电子商务行业已进入从高速增长向高质量发展转型的关键阶段。作为数字经济的重要支柱，2024年中国网络零售额达15.5万亿元，同比增长7.2%。在互联网技术持续普及与消费模式不断革新的双重驱动下，电商产业已呈现出“平台多元、业态丰富、数据海量”的显著特征。淘宝、京东、拼多多、抖音、快手等头部平台共同构建了丰富而活跃的市场格局；直播电商、即时零售、跨境出口、社区团购等新业态蓬勃发展，重塑了从生产端到消费端的完整价值链；全行业数据规模持续呈指数级增长，商品单元（SKU）总量庞大，数据资源已成为推动行业演进的核心要素。在此背景下，逐步形成了消费者、商家、物流企业、平台方等多方主体高效协同的产业生态，不仅深刻变革了商品流通方式，也为宏观经济注入了新动能。</w:t>
      </w:r>
    </w:p>
    <w:p w14:paraId="2F2A297F">
      <w:pPr>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技术赋能与模式创新正成为驱动电商行业发展的核心引擎。大数据、人工智能、物联网等新一代信息技术与电商场景深度融合，催生了智能导购、数字人直播、精准推荐等新服务模式，极大提升了消费体验的个性化和便捷性。以数据标注为代表的数字化工具，助力电商全链路实现降本增效，在节约内容审核成本的同时，有力拉动了商品交易总额的显著增长。然而，行业的高速发展也伴随着一系列治理挑战，尤其在数据管理与应用层面，存在数据壁垒突出、标准不统一、运营效率受限等问题。为应对这些挑战，政府部</w:t>
      </w:r>
      <w:r>
        <w:rPr>
          <w:rFonts w:hint="eastAsia" w:ascii="仿宋" w:hAnsi="仿宋" w:eastAsia="仿宋" w:cs="仿宋"/>
          <w:b w:val="0"/>
          <w:bCs w:val="0"/>
          <w:color w:val="auto"/>
          <w:sz w:val="32"/>
          <w:szCs w:val="32"/>
          <w:lang w:val="en-US" w:eastAsia="zh-CN"/>
        </w:rPr>
        <w:t>门</w:t>
      </w:r>
      <w:r>
        <w:rPr>
          <w:rFonts w:hint="eastAsia" w:ascii="仿宋" w:hAnsi="仿宋" w:eastAsia="仿宋" w:cs="仿宋"/>
          <w:b w:val="0"/>
          <w:bCs w:val="0"/>
          <w:color w:val="auto"/>
          <w:sz w:val="32"/>
          <w:szCs w:val="32"/>
          <w:lang w:eastAsia="zh-CN"/>
        </w:rPr>
        <w:t>持续加强规范引导。2025年市场监管总局发布《网络交易合规数据报送管理暂行办法》，创新构建“平台报送+政府监管+社会共治”机制；随后《自然人网店管理规范》的实施，为平台管理与数据报送提供明确指引。在国际化进程中，新修订的《商品二维码》国家标准于2025年7月实施，推动实现商品信息“一码查全”，并与欧盟CLP法规数字标签制度相衔接，助力中国商品“一码通行全球”。</w:t>
      </w:r>
    </w:p>
    <w:p w14:paraId="11F293AC">
      <w:pPr>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综上所述，中国电子商务行业已经进入了从高速增长向高质量发展转变的关键时期，数据驱动的精细化运营、标准化治理和国际化布局将成为未来行业健康发展的重要基础。在此过程中，建立统一、规范的电子商务数据标识体系，不仅是提升行业协同效率、保障可持续发展的重要基石，更是推动中国电商从规模优势向质量优势战略转型的必然选择。</w:t>
      </w:r>
    </w:p>
    <w:p w14:paraId="36C104C5">
      <w:pPr>
        <w:pStyle w:val="3"/>
        <w:bidi w:val="0"/>
        <w:rPr>
          <w:rFonts w:hint="default"/>
          <w:color w:val="auto"/>
          <w:lang w:val="en-US" w:eastAsia="zh-CN"/>
        </w:rPr>
      </w:pPr>
      <w:r>
        <w:rPr>
          <w:rFonts w:hint="eastAsia"/>
          <w:color w:val="auto"/>
        </w:rPr>
        <w:t>（二）制订必要性</w:t>
      </w:r>
      <w:r>
        <w:rPr>
          <w:rFonts w:hint="eastAsia"/>
          <w:color w:val="auto"/>
          <w:lang w:val="en-US" w:eastAsia="zh-CN"/>
        </w:rPr>
        <w:t xml:space="preserve">  </w:t>
      </w:r>
    </w:p>
    <w:p w14:paraId="0AD33C95">
      <w:pPr>
        <w:spacing w:line="360" w:lineRule="auto"/>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第一，统一数据标识标准、推动行业规范化发展。电子商务领域数据来源广泛、格式多样，缺乏统一标准导致数据定义混乱、标识各异，已成为数据集成与利用的根本性障碍。制订规范，为各类数据提供统一的定义、编码和表示形式，是消除系统间差异、确保数据在全生命周期内一致可控的基石，是从源头治理数据混乱的必要举措。同时，电子商务数据标识规范为电子商务行业提供统一的数据标识标准，促使企业在数据管理、交互等环节遵循规范化流程，引导行业朝着标准化方向发展，形成良好的市场秩序，减少因数据标准不统一引发的恶性竞争和资源浪费，夯实行业可持续发展的基础。</w:t>
      </w:r>
    </w:p>
    <w:p w14:paraId="1596976A">
      <w:pPr>
        <w:spacing w:line="360"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保障数据交互流畅、提升企业运营效率。打破电子商务产业链中消费者、商家、物流企业等不同主体间的数据壁垒，让数据在交换与共享时能够被准确识别和解读，降低数据对接的技术难度和成本，提升数据传输的效率和准确性，实现数据在各环节的顺畅流通。在此基础上，企业依据规范开展数据管理工作，能够降低数据处理成本，提高数据利用效率。借助标准化数据实现精准营销、科学决策和个性化服务，增强企业在市场中的竞争力，推动企业创新业务模式，提升运营效益。</w:t>
      </w:r>
    </w:p>
    <w:p w14:paraId="2E44C0BF">
      <w:pPr>
        <w:spacing w:line="360"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三，强化数据管理效能、促进产业协同创新。建立规范的数据标识体系，便于对电子商务数据进行系统化分类、高效存储、精准检索和及时更新，提升数据管理的规范性和有序性。在数据出现异常或纠纷时，能够借助数据标识快速追溯数据源头和流转路径，明确责任归属，提高数据管理的安全性与可靠性。进一步而言，规范的数据标识体系有助于整合电子商务产业链上的各类数据资源，促进企业间的协同合作与信息共享，为大数据分析、人工智能等新技术在电子商务领域的深度应用创造条件，激发行业创新活力，催生新的商业模式和服务形态。</w:t>
      </w:r>
    </w:p>
    <w:p w14:paraId="740FF87C">
      <w:pPr>
        <w:spacing w:line="360"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四，引导行业规范化发展、适应国际化发展要求。统一数据标识标准有助于引导企业规范内部数据管理流程，遏制因标准缺失导致的恶性竞争与资源浪费，为行业可持续发展奠定坚实基础。同时，顺应跨境电子商务蓬勃发展的趋势，建立与国际接轨的数据标识规范，是实现跨境数据无障碍流通、提升我国电子商务国际话语权与竞争力的战略举措，将有力推动跨境电子商务繁荣发展。</w:t>
      </w:r>
    </w:p>
    <w:p w14:paraId="49D49214">
      <w:pPr>
        <w:pStyle w:val="3"/>
        <w:bidi w:val="0"/>
        <w:rPr>
          <w:rFonts w:hint="eastAsia"/>
          <w:color w:val="auto"/>
        </w:rPr>
      </w:pPr>
      <w:r>
        <w:rPr>
          <w:rFonts w:hint="eastAsia"/>
          <w:color w:val="auto"/>
        </w:rPr>
        <w:t>（三）任务来源</w:t>
      </w:r>
    </w:p>
    <w:p w14:paraId="2DBCB96D">
      <w:pPr>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2025年，商务部办公厅下达《商务部办公厅关于下达 2025年商务领域行业标准计划项目的通知》（商办建函〔2025〕425号），本标准纳入制定计划项目清单。</w:t>
      </w:r>
    </w:p>
    <w:p w14:paraId="606CBEE8">
      <w:pPr>
        <w:pStyle w:val="3"/>
        <w:bidi w:val="0"/>
        <w:rPr>
          <w:color w:val="auto"/>
        </w:rPr>
      </w:pPr>
      <w:r>
        <w:rPr>
          <w:rFonts w:hint="eastAsia"/>
          <w:color w:val="auto"/>
        </w:rPr>
        <w:t>（</w:t>
      </w:r>
      <w:r>
        <w:rPr>
          <w:rFonts w:hint="eastAsia"/>
          <w:color w:val="auto"/>
          <w:lang w:eastAsia="zh-CN"/>
        </w:rPr>
        <w:t>四</w:t>
      </w:r>
      <w:r>
        <w:rPr>
          <w:rFonts w:hint="eastAsia"/>
          <w:color w:val="auto"/>
        </w:rPr>
        <w:t>）主要工作过程</w:t>
      </w:r>
    </w:p>
    <w:p w14:paraId="3C3B3979">
      <w:pPr>
        <w:spacing w:line="360" w:lineRule="auto"/>
        <w:ind w:firstLine="640" w:firstLineChars="200"/>
        <w:rPr>
          <w:rFonts w:hint="eastAsia" w:ascii="仿宋" w:hAnsi="仿宋" w:eastAsia="仿宋"/>
          <w:color w:val="auto"/>
          <w:sz w:val="32"/>
          <w:szCs w:val="24"/>
        </w:rPr>
      </w:pPr>
      <w:r>
        <w:rPr>
          <w:rFonts w:hint="eastAsia" w:ascii="仿宋" w:hAnsi="仿宋" w:eastAsia="仿宋"/>
          <w:color w:val="auto"/>
          <w:sz w:val="32"/>
          <w:szCs w:val="24"/>
        </w:rPr>
        <w:t>1.组建工作组、起草标准、召开讨论会和调研等情况</w:t>
      </w:r>
    </w:p>
    <w:p w14:paraId="7532E618">
      <w:pPr>
        <w:spacing w:line="360" w:lineRule="auto"/>
        <w:ind w:firstLine="640" w:firstLineChars="200"/>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2025年1月，根据中国国际电子商务中心数字商务行业标准技术委员会《关于公开征集数字商务行业标准提案意向的通知》，福建商学院标准化研究院专家与国际经贸学院电子商务系专业教师组织相关专家组建标准起草工作组，开展行业调研，拟定《电子商务数据标识规范》作为研制内容，梳理电商数据标识应用现状与需求，研究国内外相关标准与政策，经过三个月调查和研讨努力，于2025年4月下旬提交给标委会秘书处。2025年9月立项之后，成立以福建商学院党委副书记、标准化研究院院长蒲文庆研究员为组长的领导小组，联合福建新大陆时代科技有限公司、福建万物易联网络科技有限公司、福建省电子商务促进会、厦门标准化研究院等单位专家，起草小组经过线下十多次研讨，线上多次交流，形成标准草案。在2025年9月18日接受专家答辩意见之后，起草小组根据意见进一步修订草案，并向有关单位、专家征求意见，根据反馈意见修订完善。</w:t>
      </w:r>
    </w:p>
    <w:p w14:paraId="2D1BE80B">
      <w:pPr>
        <w:spacing w:line="360" w:lineRule="auto"/>
        <w:ind w:firstLine="640" w:firstLineChars="200"/>
        <w:rPr>
          <w:rFonts w:hint="eastAsia" w:ascii="仿宋" w:hAnsi="仿宋" w:eastAsia="仿宋"/>
          <w:color w:val="auto"/>
          <w:sz w:val="32"/>
          <w:szCs w:val="24"/>
          <w:lang w:eastAsia="zh-CN"/>
        </w:rPr>
      </w:pPr>
      <w:r>
        <w:rPr>
          <w:rFonts w:hint="eastAsia" w:ascii="仿宋" w:hAnsi="仿宋" w:eastAsia="仿宋"/>
          <w:color w:val="auto"/>
          <w:sz w:val="32"/>
          <w:szCs w:val="24"/>
        </w:rPr>
        <w:t>2.标准征求意见</w:t>
      </w:r>
      <w:r>
        <w:rPr>
          <w:rFonts w:hint="eastAsia" w:ascii="仿宋" w:hAnsi="仿宋" w:eastAsia="仿宋"/>
          <w:color w:val="auto"/>
          <w:sz w:val="32"/>
          <w:szCs w:val="24"/>
          <w:lang w:eastAsia="zh-CN"/>
        </w:rPr>
        <w:t>处理，形成征求稿情况</w:t>
      </w:r>
    </w:p>
    <w:p w14:paraId="4814C86C">
      <w:pPr>
        <w:spacing w:line="360" w:lineRule="auto"/>
        <w:ind w:firstLine="640" w:firstLineChars="200"/>
        <w:rPr>
          <w:rFonts w:hint="eastAsia" w:ascii="仿宋" w:hAnsi="仿宋" w:eastAsia="仿宋"/>
          <w:color w:val="auto"/>
          <w:sz w:val="32"/>
          <w:szCs w:val="24"/>
          <w:lang w:eastAsia="zh-CN"/>
        </w:rPr>
      </w:pPr>
      <w:r>
        <w:rPr>
          <w:rFonts w:hint="eastAsia" w:ascii="仿宋" w:hAnsi="仿宋" w:eastAsia="仿宋"/>
          <w:color w:val="auto"/>
          <w:sz w:val="32"/>
          <w:szCs w:val="24"/>
          <w:lang w:eastAsia="zh-CN"/>
        </w:rPr>
        <w:t>2026年9月下旬开始，向北京、上海、福建、广东、浙江、江苏、贵州等地高校、电子商务促进会、各电商平台、快消品生产等132个企事业单位发送“征求意见稿”，截止2026年1月15日，共有116个单位回复，56家单位回函并有建议或意见，16家单位没有回函。共有44条征求意见，采纳33条，未采纳11条。未采纳意见主要因概念范畴不同，超出本标准通用规范范围，已向相关单位说明情况，经过多次修订形成标准征求意见稿。</w:t>
      </w:r>
    </w:p>
    <w:p w14:paraId="20B86CC3">
      <w:pPr>
        <w:spacing w:line="360" w:lineRule="auto"/>
        <w:ind w:firstLine="640" w:firstLineChars="200"/>
        <w:rPr>
          <w:rFonts w:hint="default" w:ascii="仿宋" w:hAnsi="仿宋" w:eastAsia="仿宋"/>
          <w:color w:val="auto"/>
          <w:szCs w:val="24"/>
          <w:u w:val="none"/>
          <w:lang w:val="en-US" w:eastAsia="zh-CN"/>
        </w:rPr>
      </w:pPr>
      <w:r>
        <w:rPr>
          <w:rFonts w:hint="eastAsia" w:ascii="仿宋" w:hAnsi="仿宋" w:eastAsia="仿宋"/>
          <w:color w:val="auto"/>
          <w:sz w:val="32"/>
          <w:szCs w:val="24"/>
          <w:lang w:eastAsia="zh-CN"/>
        </w:rPr>
        <w:t>2025年12月22日根据标委会要求，开始向全国数字商务行业标准化技术委员会有关委员、有关主管部门、社会团体、企事业单位、科研院所等定向征求意见，收到</w:t>
      </w:r>
      <w:r>
        <w:rPr>
          <w:rFonts w:hint="eastAsia" w:ascii="仿宋" w:hAnsi="仿宋" w:eastAsia="仿宋"/>
          <w:color w:val="auto"/>
          <w:sz w:val="32"/>
          <w:szCs w:val="24"/>
          <w:lang w:val="en-US" w:eastAsia="zh-CN"/>
        </w:rPr>
        <w:t>22</w:t>
      </w:r>
      <w:r>
        <w:rPr>
          <w:rFonts w:hint="eastAsia" w:ascii="仿宋" w:hAnsi="仿宋" w:eastAsia="仿宋"/>
          <w:color w:val="auto"/>
          <w:sz w:val="32"/>
          <w:szCs w:val="24"/>
          <w:lang w:eastAsia="zh-CN"/>
        </w:rPr>
        <w:t>条意见，其中</w:t>
      </w:r>
      <w:r>
        <w:rPr>
          <w:rFonts w:hint="eastAsia" w:ascii="仿宋" w:hAnsi="仿宋" w:eastAsia="仿宋"/>
          <w:color w:val="auto"/>
          <w:sz w:val="32"/>
          <w:szCs w:val="24"/>
          <w:lang w:val="en-US" w:eastAsia="zh-CN"/>
        </w:rPr>
        <w:t>7</w:t>
      </w:r>
      <w:r>
        <w:rPr>
          <w:rFonts w:hint="eastAsia" w:ascii="仿宋" w:hAnsi="仿宋" w:eastAsia="仿宋"/>
          <w:color w:val="auto"/>
          <w:sz w:val="32"/>
          <w:szCs w:val="24"/>
          <w:lang w:eastAsia="zh-CN"/>
        </w:rPr>
        <w:t>条意见没有采纳</w:t>
      </w:r>
      <w:r>
        <w:rPr>
          <w:rFonts w:hint="eastAsia" w:ascii="仿宋" w:hAnsi="仿宋" w:eastAsia="仿宋"/>
          <w:color w:val="auto"/>
          <w:sz w:val="32"/>
          <w:szCs w:val="24"/>
          <w:u w:val="none"/>
          <w:lang w:eastAsia="zh-CN"/>
        </w:rPr>
        <w:t>。</w:t>
      </w:r>
      <w:r>
        <w:rPr>
          <w:rFonts w:hint="eastAsia" w:ascii="仿宋" w:hAnsi="仿宋" w:eastAsia="仿宋"/>
          <w:color w:val="auto"/>
          <w:szCs w:val="24"/>
          <w:u w:val="none"/>
        </w:rPr>
        <w:t>未采纳相关条款的</w:t>
      </w:r>
      <w:r>
        <w:rPr>
          <w:rFonts w:hint="eastAsia" w:ascii="仿宋" w:hAnsi="仿宋" w:eastAsia="仿宋"/>
          <w:color w:val="auto"/>
          <w:szCs w:val="24"/>
          <w:u w:val="none"/>
          <w:lang w:val="en-US" w:eastAsia="zh-CN"/>
        </w:rPr>
        <w:t>主要原因如下：</w:t>
      </w:r>
    </w:p>
    <w:p w14:paraId="2BD68CFF">
      <w:pPr>
        <w:spacing w:line="360" w:lineRule="auto"/>
        <w:ind w:firstLine="640" w:firstLineChars="200"/>
        <w:rPr>
          <w:rFonts w:hint="eastAsia" w:ascii="仿宋" w:hAnsi="仿宋" w:eastAsia="仿宋"/>
          <w:color w:val="auto"/>
          <w:szCs w:val="24"/>
          <w:u w:val="none"/>
        </w:rPr>
      </w:pPr>
      <w:r>
        <w:rPr>
          <w:rFonts w:hint="eastAsia" w:ascii="仿宋" w:hAnsi="仿宋" w:eastAsia="仿宋"/>
          <w:color w:val="auto"/>
          <w:szCs w:val="24"/>
          <w:u w:val="none"/>
          <w:lang w:eastAsia="zh-CN"/>
        </w:rPr>
        <w:t>（</w:t>
      </w:r>
      <w:r>
        <w:rPr>
          <w:rFonts w:hint="eastAsia" w:ascii="仿宋" w:hAnsi="仿宋" w:eastAsia="仿宋"/>
          <w:color w:val="auto"/>
          <w:szCs w:val="24"/>
          <w:u w:val="none"/>
          <w:lang w:val="en-US" w:eastAsia="zh-CN"/>
        </w:rPr>
        <w:t>1</w:t>
      </w:r>
      <w:r>
        <w:rPr>
          <w:rFonts w:hint="eastAsia" w:ascii="仿宋" w:hAnsi="仿宋" w:eastAsia="仿宋"/>
          <w:color w:val="auto"/>
          <w:szCs w:val="24"/>
          <w:u w:val="none"/>
          <w:lang w:eastAsia="zh-CN"/>
        </w:rPr>
        <w:t>）</w:t>
      </w:r>
      <w:r>
        <w:rPr>
          <w:rFonts w:hint="eastAsia" w:ascii="仿宋" w:hAnsi="仿宋" w:eastAsia="仿宋"/>
          <w:color w:val="auto"/>
          <w:szCs w:val="24"/>
          <w:u w:val="none"/>
        </w:rPr>
        <w:t>针对部分专家提出的补充营销活动数据、跨境电子商务专项数据、商品评价与舆情数据、售后服务结果数据及消费者画像数据标识规范的四项建议，本标准以支撑数据确权与数据交互为核心定位。上述相关数据主要应用于企业内部经营管理场景，因此暂不纳入本标准规范范围</w:t>
      </w:r>
      <w:r>
        <w:rPr>
          <w:rFonts w:hint="eastAsia" w:ascii="仿宋" w:hAnsi="仿宋" w:eastAsia="仿宋"/>
          <w:color w:val="auto"/>
          <w:szCs w:val="24"/>
          <w:u w:val="none"/>
          <w:lang w:eastAsia="zh-CN"/>
        </w:rPr>
        <w:t>。</w:t>
      </w:r>
    </w:p>
    <w:p w14:paraId="163054BA">
      <w:pPr>
        <w:spacing w:line="360" w:lineRule="auto"/>
        <w:ind w:firstLine="640" w:firstLineChars="200"/>
        <w:rPr>
          <w:rFonts w:hint="eastAsia" w:ascii="仿宋" w:hAnsi="仿宋" w:eastAsia="仿宋"/>
          <w:color w:val="auto"/>
          <w:szCs w:val="24"/>
          <w:u w:val="none"/>
        </w:rPr>
      </w:pPr>
      <w:r>
        <w:rPr>
          <w:rFonts w:hint="eastAsia" w:ascii="仿宋" w:hAnsi="仿宋" w:eastAsia="仿宋"/>
          <w:color w:val="auto"/>
          <w:szCs w:val="24"/>
          <w:u w:val="none"/>
          <w:lang w:eastAsia="zh-CN"/>
        </w:rPr>
        <w:t>（</w:t>
      </w:r>
      <w:r>
        <w:rPr>
          <w:rFonts w:hint="eastAsia" w:ascii="仿宋" w:hAnsi="仿宋" w:eastAsia="仿宋"/>
          <w:color w:val="auto"/>
          <w:szCs w:val="24"/>
          <w:u w:val="none"/>
          <w:lang w:val="en-US" w:eastAsia="zh-CN"/>
        </w:rPr>
        <w:t>2</w:t>
      </w:r>
      <w:r>
        <w:rPr>
          <w:rFonts w:hint="eastAsia" w:ascii="仿宋" w:hAnsi="仿宋" w:eastAsia="仿宋"/>
          <w:color w:val="auto"/>
          <w:szCs w:val="24"/>
          <w:u w:val="none"/>
          <w:lang w:eastAsia="zh-CN"/>
        </w:rPr>
        <w:t>）</w:t>
      </w:r>
      <w:r>
        <w:rPr>
          <w:rFonts w:hint="eastAsia" w:ascii="仿宋" w:hAnsi="仿宋" w:eastAsia="仿宋"/>
          <w:color w:val="auto"/>
          <w:szCs w:val="24"/>
          <w:u w:val="none"/>
        </w:rPr>
        <w:t>两项涉及商品条码的条款，因本标准所规范的数据范畴不包含商品条码相关信息，故暂未采纳。</w:t>
      </w:r>
    </w:p>
    <w:p w14:paraId="531109EF">
      <w:pPr>
        <w:spacing w:line="360" w:lineRule="auto"/>
        <w:ind w:firstLine="640" w:firstLineChars="200"/>
        <w:rPr>
          <w:rFonts w:hint="eastAsia" w:ascii="仿宋" w:hAnsi="仿宋" w:eastAsia="仿宋"/>
          <w:color w:val="auto"/>
          <w:sz w:val="32"/>
          <w:szCs w:val="24"/>
          <w:u w:val="none"/>
          <w:lang w:eastAsia="zh-CN"/>
        </w:rPr>
      </w:pPr>
      <w:r>
        <w:rPr>
          <w:rFonts w:hint="eastAsia" w:ascii="仿宋" w:hAnsi="仿宋" w:eastAsia="仿宋"/>
          <w:color w:val="auto"/>
          <w:szCs w:val="24"/>
          <w:u w:val="none"/>
          <w:lang w:eastAsia="zh-CN"/>
        </w:rPr>
        <w:t>（</w:t>
      </w:r>
      <w:r>
        <w:rPr>
          <w:rFonts w:hint="eastAsia" w:ascii="仿宋" w:hAnsi="仿宋" w:eastAsia="仿宋"/>
          <w:color w:val="auto"/>
          <w:szCs w:val="24"/>
          <w:u w:val="none"/>
          <w:lang w:val="en-US" w:eastAsia="zh-CN"/>
        </w:rPr>
        <w:t>3</w:t>
      </w:r>
      <w:r>
        <w:rPr>
          <w:rFonts w:hint="eastAsia" w:ascii="仿宋" w:hAnsi="仿宋" w:eastAsia="仿宋"/>
          <w:color w:val="auto"/>
          <w:szCs w:val="24"/>
          <w:u w:val="none"/>
          <w:lang w:eastAsia="zh-CN"/>
        </w:rPr>
        <w:t>）</w:t>
      </w:r>
      <w:r>
        <w:rPr>
          <w:rFonts w:hint="eastAsia" w:ascii="仿宋" w:hAnsi="仿宋" w:eastAsia="仿宋"/>
          <w:color w:val="auto"/>
          <w:szCs w:val="24"/>
          <w:u w:val="none"/>
        </w:rPr>
        <w:t>关于引用 GB 11643-2016 的条款，经全国标准信息公共服务平台核查，该版本未公示，现行有效最新版本为GB 11643-1999，因此暂不采纳。</w:t>
      </w:r>
    </w:p>
    <w:p w14:paraId="73017EC2">
      <w:pPr>
        <w:pStyle w:val="2"/>
        <w:bidi w:val="0"/>
        <w:rPr>
          <w:color w:val="auto"/>
        </w:rPr>
      </w:pPr>
      <w:r>
        <w:rPr>
          <w:rFonts w:hint="eastAsia"/>
          <w:color w:val="auto"/>
        </w:rPr>
        <w:t>二、标准制修订原则和内容</w:t>
      </w:r>
    </w:p>
    <w:p w14:paraId="7451F388">
      <w:pPr>
        <w:pStyle w:val="3"/>
        <w:bidi w:val="0"/>
        <w:rPr>
          <w:rFonts w:hint="eastAsia"/>
          <w:color w:val="auto"/>
        </w:rPr>
      </w:pPr>
      <w:r>
        <w:rPr>
          <w:rFonts w:hint="eastAsia"/>
          <w:color w:val="auto"/>
        </w:rPr>
        <w:t>（一）制修订原则</w:t>
      </w:r>
    </w:p>
    <w:p w14:paraId="5F111ACE">
      <w:pPr>
        <w:spacing w:line="360" w:lineRule="auto"/>
        <w:ind w:firstLine="640" w:firstLineChars="200"/>
        <w:rPr>
          <w:rFonts w:hint="eastAsia" w:ascii="仿宋" w:hAnsi="仿宋" w:eastAsia="仿宋" w:cs="仿宋"/>
          <w:b w:val="0"/>
          <w:bCs w:val="0"/>
          <w:color w:val="auto"/>
          <w:sz w:val="32"/>
          <w:szCs w:val="24"/>
        </w:rPr>
      </w:pPr>
      <w:r>
        <w:rPr>
          <w:rFonts w:hint="eastAsia" w:ascii="仿宋" w:hAnsi="仿宋" w:eastAsia="仿宋" w:cs="仿宋"/>
          <w:b w:val="0"/>
          <w:bCs w:val="0"/>
          <w:color w:val="auto"/>
          <w:sz w:val="32"/>
          <w:szCs w:val="24"/>
          <w:lang w:val="en-US" w:eastAsia="zh-CN"/>
        </w:rPr>
        <w:t>1.</w:t>
      </w:r>
      <w:r>
        <w:rPr>
          <w:rFonts w:hint="eastAsia" w:ascii="仿宋" w:hAnsi="仿宋" w:eastAsia="仿宋" w:cs="仿宋"/>
          <w:b w:val="0"/>
          <w:bCs w:val="0"/>
          <w:color w:val="auto"/>
          <w:sz w:val="32"/>
          <w:szCs w:val="24"/>
        </w:rPr>
        <w:t>唯一性原则：</w:t>
      </w:r>
      <w:r>
        <w:rPr>
          <w:rFonts w:hint="default" w:ascii="Times New Roman" w:hAnsi="Times New Roman" w:cs="Times New Roman"/>
          <w:color w:val="auto"/>
        </w:rPr>
        <w:t>一个数据标识符仅对应一个数据对象</w:t>
      </w:r>
      <w:r>
        <w:rPr>
          <w:rFonts w:hint="eastAsia" w:ascii="仿宋" w:hAnsi="仿宋" w:eastAsia="仿宋" w:cs="仿宋"/>
          <w:b w:val="0"/>
          <w:bCs w:val="0"/>
          <w:color w:val="auto"/>
          <w:sz w:val="32"/>
          <w:szCs w:val="24"/>
        </w:rPr>
        <w:t>，避免跨平台、跨系统冲突。</w:t>
      </w:r>
    </w:p>
    <w:p w14:paraId="291D692F">
      <w:pPr>
        <w:spacing w:line="360" w:lineRule="auto"/>
        <w:ind w:firstLine="640" w:firstLineChars="200"/>
        <w:rPr>
          <w:rFonts w:hint="eastAsia" w:ascii="仿宋" w:hAnsi="仿宋" w:eastAsia="仿宋" w:cs="仿宋"/>
          <w:b w:val="0"/>
          <w:bCs w:val="0"/>
          <w:color w:val="auto"/>
          <w:sz w:val="32"/>
          <w:szCs w:val="24"/>
        </w:rPr>
      </w:pPr>
      <w:r>
        <w:rPr>
          <w:rFonts w:hint="eastAsia" w:ascii="仿宋" w:hAnsi="仿宋" w:eastAsia="仿宋" w:cs="仿宋"/>
          <w:b w:val="0"/>
          <w:bCs w:val="0"/>
          <w:color w:val="auto"/>
          <w:sz w:val="32"/>
          <w:szCs w:val="24"/>
          <w:lang w:val="en-US" w:eastAsia="zh-CN"/>
        </w:rPr>
        <w:t>2.</w:t>
      </w:r>
      <w:r>
        <w:rPr>
          <w:rFonts w:hint="eastAsia" w:ascii="仿宋" w:hAnsi="仿宋" w:eastAsia="仿宋" w:cs="仿宋"/>
          <w:b w:val="0"/>
          <w:bCs w:val="0"/>
          <w:color w:val="auto"/>
          <w:sz w:val="32"/>
          <w:szCs w:val="24"/>
        </w:rPr>
        <w:t>稳定性原则：</w:t>
      </w:r>
      <w:r>
        <w:rPr>
          <w:rFonts w:hint="default" w:ascii="Times New Roman" w:hAnsi="Times New Roman" w:cs="Times New Roman"/>
          <w:color w:val="auto"/>
        </w:rPr>
        <w:t>数据标识符在其所标识主体的指定生命周期内保持不变</w:t>
      </w:r>
      <w:r>
        <w:rPr>
          <w:rFonts w:hint="eastAsia" w:ascii="仿宋" w:hAnsi="仿宋" w:eastAsia="仿宋" w:cs="仿宋"/>
          <w:b w:val="0"/>
          <w:bCs w:val="0"/>
          <w:color w:val="auto"/>
          <w:sz w:val="32"/>
          <w:szCs w:val="24"/>
        </w:rPr>
        <w:t>。</w:t>
      </w:r>
    </w:p>
    <w:p w14:paraId="466CAEE8">
      <w:pPr>
        <w:spacing w:line="360" w:lineRule="auto"/>
        <w:ind w:firstLine="640" w:firstLineChars="200"/>
        <w:rPr>
          <w:rFonts w:hint="eastAsia" w:ascii="仿宋" w:hAnsi="仿宋" w:eastAsia="仿宋" w:cs="仿宋"/>
          <w:b w:val="0"/>
          <w:bCs w:val="0"/>
          <w:color w:val="auto"/>
          <w:sz w:val="32"/>
          <w:szCs w:val="24"/>
        </w:rPr>
      </w:pPr>
      <w:r>
        <w:rPr>
          <w:rFonts w:hint="eastAsia" w:ascii="仿宋" w:hAnsi="仿宋" w:eastAsia="仿宋" w:cs="仿宋"/>
          <w:b w:val="0"/>
          <w:bCs w:val="0"/>
          <w:color w:val="auto"/>
          <w:sz w:val="32"/>
          <w:szCs w:val="24"/>
          <w:lang w:val="en-US" w:eastAsia="zh-CN"/>
        </w:rPr>
        <w:t>3.</w:t>
      </w:r>
      <w:r>
        <w:rPr>
          <w:rFonts w:hint="eastAsia" w:ascii="仿宋" w:hAnsi="仿宋" w:eastAsia="仿宋" w:cs="仿宋"/>
          <w:b w:val="0"/>
          <w:bCs w:val="0"/>
          <w:color w:val="auto"/>
          <w:sz w:val="32"/>
          <w:szCs w:val="24"/>
        </w:rPr>
        <w:t>可扩展性原则：采用模块化架构与预留扩展位设计，支持新增数据类型无缝接入。</w:t>
      </w:r>
    </w:p>
    <w:p w14:paraId="55C4F7AE">
      <w:pPr>
        <w:spacing w:line="360" w:lineRule="auto"/>
        <w:ind w:firstLine="640" w:firstLineChars="200"/>
        <w:rPr>
          <w:rFonts w:hint="eastAsia" w:ascii="仿宋" w:hAnsi="仿宋" w:eastAsia="仿宋" w:cs="仿宋"/>
          <w:b w:val="0"/>
          <w:bCs w:val="0"/>
          <w:color w:val="auto"/>
          <w:sz w:val="32"/>
          <w:szCs w:val="24"/>
        </w:rPr>
      </w:pPr>
      <w:r>
        <w:rPr>
          <w:rFonts w:hint="eastAsia" w:ascii="仿宋" w:hAnsi="仿宋" w:eastAsia="仿宋" w:cs="仿宋"/>
          <w:b w:val="0"/>
          <w:bCs w:val="0"/>
          <w:color w:val="auto"/>
          <w:sz w:val="32"/>
          <w:szCs w:val="24"/>
          <w:lang w:val="en-US" w:eastAsia="zh-CN"/>
        </w:rPr>
        <w:t>4.</w:t>
      </w:r>
      <w:r>
        <w:rPr>
          <w:rFonts w:hint="default" w:ascii="Times New Roman" w:hAnsi="Times New Roman" w:cs="Times New Roman"/>
          <w:color w:val="auto"/>
          <w:lang w:val="en-US" w:eastAsia="zh-CN"/>
        </w:rPr>
        <w:t>简洁性</w:t>
      </w:r>
      <w:r>
        <w:rPr>
          <w:rFonts w:hint="eastAsia" w:ascii="仿宋" w:hAnsi="仿宋" w:eastAsia="仿宋" w:cs="仿宋"/>
          <w:b w:val="0"/>
          <w:bCs w:val="0"/>
          <w:color w:val="auto"/>
          <w:sz w:val="32"/>
          <w:szCs w:val="24"/>
        </w:rPr>
        <w:t>原则：</w:t>
      </w:r>
      <w:r>
        <w:rPr>
          <w:rFonts w:hint="default" w:ascii="Times New Roman" w:hAnsi="Times New Roman" w:cs="Times New Roman"/>
          <w:color w:val="auto"/>
          <w:lang w:val="en-US" w:eastAsia="zh-CN"/>
        </w:rPr>
        <w:t>数据标识设计力求结构简洁、长度合理、易于人工识读与系统处理</w:t>
      </w:r>
      <w:r>
        <w:rPr>
          <w:rFonts w:hint="eastAsia" w:ascii="仿宋" w:hAnsi="仿宋" w:eastAsia="仿宋" w:cs="仿宋"/>
          <w:b w:val="0"/>
          <w:bCs w:val="0"/>
          <w:color w:val="auto"/>
          <w:sz w:val="32"/>
          <w:szCs w:val="24"/>
        </w:rPr>
        <w:t>。</w:t>
      </w:r>
    </w:p>
    <w:p w14:paraId="240B846C">
      <w:pPr>
        <w:pStyle w:val="17"/>
        <w:ind w:firstLine="420"/>
        <w:rPr>
          <w:rFonts w:hint="default"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5.安全性原则：</w:t>
      </w:r>
      <w:r>
        <w:rPr>
          <w:rFonts w:hint="default" w:ascii="仿宋" w:hAnsi="仿宋" w:eastAsia="仿宋" w:cs="仿宋"/>
          <w:b w:val="0"/>
          <w:bCs w:val="0"/>
          <w:color w:val="auto"/>
          <w:sz w:val="32"/>
          <w:szCs w:val="24"/>
          <w:lang w:val="en-US" w:eastAsia="zh-CN"/>
        </w:rPr>
        <w:t>在数据标识生成、存储、传输与解析全生命周期中，应采取安全措施</w:t>
      </w:r>
      <w:r>
        <w:rPr>
          <w:rFonts w:hint="eastAsia" w:ascii="仿宋" w:hAnsi="仿宋" w:eastAsia="仿宋" w:cs="仿宋"/>
          <w:b w:val="0"/>
          <w:bCs w:val="0"/>
          <w:color w:val="auto"/>
          <w:sz w:val="32"/>
          <w:szCs w:val="24"/>
          <w:lang w:val="en-US" w:eastAsia="zh-CN"/>
        </w:rPr>
        <w:t>保障数据安全</w:t>
      </w:r>
      <w:r>
        <w:rPr>
          <w:rFonts w:hint="default" w:ascii="仿宋" w:hAnsi="仿宋" w:eastAsia="仿宋" w:cs="仿宋"/>
          <w:b w:val="0"/>
          <w:bCs w:val="0"/>
          <w:color w:val="auto"/>
          <w:sz w:val="32"/>
          <w:szCs w:val="24"/>
          <w:lang w:val="en-US" w:eastAsia="zh-CN"/>
        </w:rPr>
        <w:t>。</w:t>
      </w:r>
    </w:p>
    <w:p w14:paraId="52A01DA2">
      <w:pPr>
        <w:spacing w:line="360" w:lineRule="auto"/>
        <w:ind w:firstLine="640" w:firstLineChars="200"/>
        <w:rPr>
          <w:rFonts w:hint="default"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6.</w:t>
      </w:r>
      <w:r>
        <w:rPr>
          <w:rFonts w:hint="default" w:ascii="仿宋" w:hAnsi="仿宋" w:eastAsia="仿宋" w:cs="仿宋"/>
          <w:b w:val="0"/>
          <w:bCs w:val="0"/>
          <w:color w:val="auto"/>
          <w:sz w:val="32"/>
          <w:szCs w:val="24"/>
          <w:lang w:val="en-US" w:eastAsia="zh-CN"/>
        </w:rPr>
        <w:t>法律合规性原则</w:t>
      </w:r>
      <w:r>
        <w:rPr>
          <w:rFonts w:hint="eastAsia" w:ascii="仿宋" w:hAnsi="仿宋" w:eastAsia="仿宋" w:cs="仿宋"/>
          <w:b w:val="0"/>
          <w:bCs w:val="0"/>
          <w:color w:val="auto"/>
          <w:sz w:val="32"/>
          <w:szCs w:val="24"/>
          <w:lang w:val="en-US" w:eastAsia="zh-CN"/>
        </w:rPr>
        <w:t>：</w:t>
      </w:r>
      <w:r>
        <w:rPr>
          <w:rFonts w:hint="default" w:ascii="仿宋" w:hAnsi="仿宋" w:eastAsia="仿宋" w:cs="仿宋"/>
          <w:b w:val="0"/>
          <w:bCs w:val="0"/>
          <w:color w:val="auto"/>
          <w:sz w:val="32"/>
          <w:szCs w:val="24"/>
          <w:lang w:val="en-US" w:eastAsia="zh-CN"/>
        </w:rPr>
        <w:t>在数据标识生成、存储、传输与解析全生命周期中，应采取安全措施</w:t>
      </w:r>
      <w:r>
        <w:rPr>
          <w:rFonts w:hint="eastAsia" w:ascii="仿宋" w:hAnsi="仿宋" w:eastAsia="仿宋" w:cs="仿宋"/>
          <w:b w:val="0"/>
          <w:bCs w:val="0"/>
          <w:color w:val="auto"/>
          <w:sz w:val="32"/>
          <w:szCs w:val="24"/>
          <w:lang w:val="en-US" w:eastAsia="zh-CN"/>
        </w:rPr>
        <w:t>保障数据安全</w:t>
      </w:r>
      <w:r>
        <w:rPr>
          <w:rFonts w:hint="default" w:ascii="仿宋" w:hAnsi="仿宋" w:eastAsia="仿宋" w:cs="仿宋"/>
          <w:b w:val="0"/>
          <w:bCs w:val="0"/>
          <w:color w:val="auto"/>
          <w:sz w:val="32"/>
          <w:szCs w:val="24"/>
          <w:lang w:val="en-US" w:eastAsia="zh-CN"/>
        </w:rPr>
        <w:t>。</w:t>
      </w:r>
    </w:p>
    <w:p w14:paraId="5569E47D">
      <w:pPr>
        <w:pStyle w:val="3"/>
        <w:numPr>
          <w:ilvl w:val="0"/>
          <w:numId w:val="2"/>
        </w:numPr>
        <w:bidi w:val="0"/>
        <w:rPr>
          <w:rFonts w:hint="eastAsia"/>
          <w:color w:val="auto"/>
        </w:rPr>
      </w:pPr>
      <w:r>
        <w:rPr>
          <w:rFonts w:hint="eastAsia"/>
          <w:color w:val="auto"/>
        </w:rPr>
        <w:t>主要制修订内容及依据</w:t>
      </w:r>
    </w:p>
    <w:p w14:paraId="7D595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电子商务数据标识规范》的制定旨在解决电子商务领域数据标准不统一、数据共享难、数据管理效率低等核心问题。规范基于现行法律法规和国家标准，结合电子商务行业特点和实践需求，构建了完整的数据标识体系。以下对该规范的主要制修订内容及其依据进行详细阐述。</w:t>
      </w:r>
    </w:p>
    <w:p w14:paraId="5FF0DA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auto"/>
          <w:lang w:val="en-US" w:eastAsia="zh-CN"/>
        </w:rPr>
      </w:pPr>
      <w:r>
        <w:rPr>
          <w:rFonts w:hint="eastAsia" w:ascii="仿宋" w:hAnsi="仿宋" w:eastAsia="仿宋" w:cs="仿宋"/>
          <w:b w:val="0"/>
          <w:bCs w:val="0"/>
          <w:color w:val="auto"/>
          <w:sz w:val="32"/>
          <w:szCs w:val="24"/>
          <w:lang w:val="en-US" w:eastAsia="zh-CN"/>
        </w:rPr>
        <w:t>对于数据元素标识编码，规范命名采用了“修饰词+基本词+类别词”的三级结构，</w:t>
      </w:r>
      <w:r>
        <w:rPr>
          <w:rFonts w:hint="default" w:ascii="Times New Roman" w:hAnsi="Times New Roman" w:cs="Times New Roman"/>
          <w:color w:val="auto"/>
        </w:rPr>
        <w:t>类别词和基本词各一个，修饰词可一个或多个；类别词固定位于末尾，修饰词和基本词居前。数据元素标识编码规则可用限定长度的大写字母字符串、数据元素名称的汉语拼音抽取首音字母或英文词首字母、缩写规则得出</w:t>
      </w:r>
      <w:r>
        <w:rPr>
          <w:rFonts w:hint="eastAsia" w:ascii="Times New Roman" w:hAnsi="Times New Roman" w:cs="Times New Roman"/>
          <w:color w:val="auto"/>
          <w:lang w:eastAsia="zh-CN"/>
        </w:rPr>
        <w:t>。</w:t>
      </w:r>
    </w:p>
    <w:p w14:paraId="045225BC">
      <w:pPr>
        <w:pStyle w:val="18"/>
        <w:numPr>
          <w:ilvl w:val="4"/>
          <w:numId w:val="0"/>
        </w:numPr>
        <w:ind w:leftChars="0" w:firstLine="640" w:firstLineChars="200"/>
        <w:rPr>
          <w:rFonts w:hint="default" w:ascii="Times New Roman" w:hAnsi="Times New Roman" w:cs="Times New Roman"/>
          <w:color w:val="auto"/>
          <w:lang w:val="en-US" w:eastAsia="zh-CN"/>
        </w:rPr>
      </w:pPr>
      <w:r>
        <w:rPr>
          <w:rFonts w:hint="eastAsia" w:ascii="仿宋" w:hAnsi="仿宋" w:eastAsia="仿宋" w:cs="仿宋"/>
          <w:b w:val="0"/>
          <w:bCs w:val="0"/>
          <w:color w:val="auto"/>
          <w:sz w:val="32"/>
          <w:szCs w:val="24"/>
          <w:lang w:val="en-US" w:eastAsia="zh-CN"/>
        </w:rPr>
        <w:t>在商品数据标识方面，</w:t>
      </w:r>
      <w:r>
        <w:rPr>
          <w:rFonts w:hint="default" w:ascii="仿宋" w:hAnsi="仿宋" w:eastAsia="仿宋" w:cs="仿宋"/>
          <w:b w:val="0"/>
          <w:bCs w:val="0"/>
          <w:color w:val="auto"/>
          <w:sz w:val="32"/>
          <w:szCs w:val="24"/>
          <w:lang w:val="en-US" w:eastAsia="zh-CN"/>
        </w:rPr>
        <w:t>商品分类编码应优先采用国内现行标准（如GB/T</w:t>
      </w:r>
      <w:r>
        <w:rPr>
          <w:rFonts w:hint="eastAsia" w:ascii="仿宋" w:hAnsi="仿宋" w:eastAsia="仿宋" w:cs="仿宋"/>
          <w:b w:val="0"/>
          <w:bCs w:val="0"/>
          <w:color w:val="auto"/>
          <w:sz w:val="32"/>
          <w:szCs w:val="24"/>
          <w:lang w:val="en-US" w:eastAsia="zh-CN"/>
        </w:rPr>
        <w:t xml:space="preserve"> </w:t>
      </w:r>
      <w:r>
        <w:rPr>
          <w:rFonts w:hint="default" w:ascii="仿宋" w:hAnsi="仿宋" w:eastAsia="仿宋" w:cs="仿宋"/>
          <w:b w:val="0"/>
          <w:bCs w:val="0"/>
          <w:color w:val="auto"/>
          <w:sz w:val="32"/>
          <w:szCs w:val="24"/>
          <w:lang w:val="en-US" w:eastAsia="zh-CN"/>
        </w:rPr>
        <w:t>7635-2002《全国主要产品分类与代码》）或国际通用标准（如UNSPSC、GTIN分类）。数据交换时，应明确携带“分类代码”字段及所遵循的标准类型标识。确无适用通用标准的特殊商品类别，可由行业主管部门或授权机构统筹制定补充分类规则，补充规则需与现有通用标准建立映射关系，确保数据互通性。编码结构采用层级式，每层级用2-4位阿拉伯数字表示，层级间用“.”连接</w:t>
      </w:r>
      <w:r>
        <w:rPr>
          <w:rFonts w:hint="eastAsia" w:ascii="仿宋" w:hAnsi="仿宋" w:eastAsia="仿宋" w:cs="仿宋"/>
          <w:b w:val="0"/>
          <w:bCs w:val="0"/>
          <w:color w:val="auto"/>
          <w:sz w:val="32"/>
          <w:szCs w:val="24"/>
          <w:lang w:val="en-US" w:eastAsia="zh-CN"/>
        </w:rPr>
        <w:t>。</w:t>
      </w:r>
      <w:r>
        <w:rPr>
          <w:rFonts w:hint="default" w:ascii="仿宋" w:hAnsi="仿宋" w:eastAsia="仿宋" w:cs="仿宋"/>
          <w:b w:val="0"/>
          <w:bCs w:val="0"/>
          <w:color w:val="auto"/>
          <w:sz w:val="32"/>
          <w:szCs w:val="24"/>
          <w:lang w:val="en-US" w:eastAsia="zh-CN" w:bidi="ar-SA"/>
        </w:rPr>
        <w:t>商品SKU编码需在平台或品牌体系内保持全局唯一，遵循“核心属性结构化+灵活扩展”的规则。编码由品牌代码（2-4位大写字母，由权威机构统一分配管理）、核心属性码（3-8位数字字母混合，表示型号与关键特征）、扩展属性码（可选，1-5组、每组2-4位字符，描述尺码、材质等多维属性）以及权属简码（3位，关联电商交易主体）依次组成。编码总长度不超过30位，鼓励品牌商根据自身业务特点在基础结构内优化字段组合，确保编码具备可读性和可追溯性</w:t>
      </w:r>
      <w:r>
        <w:rPr>
          <w:rFonts w:hint="eastAsia" w:ascii="Times New Roman" w:hAnsi="Times New Roman" w:cs="Times New Roman"/>
          <w:color w:val="auto"/>
          <w:lang w:val="en-US" w:eastAsia="zh-CN"/>
        </w:rPr>
        <w:t>。</w:t>
      </w:r>
    </w:p>
    <w:p w14:paraId="478F71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对于交易数据标识，规范设计了交易订单编码和支付交易编码两套方案。交易订单编码采用</w:t>
      </w:r>
      <w:r>
        <w:rPr>
          <w:rFonts w:hint="eastAsia" w:ascii="Times New Roman" w:cs="Times New Roman"/>
          <w:color w:val="auto"/>
          <w:lang w:eastAsia="zh-CN"/>
        </w:rPr>
        <w:t>“</w:t>
      </w:r>
      <w:r>
        <w:rPr>
          <w:rFonts w:hint="default" w:ascii="Times New Roman" w:hAnsi="Times New Roman" w:cs="Times New Roman"/>
          <w:color w:val="auto"/>
        </w:rPr>
        <w:t>平台代码（</w:t>
      </w:r>
      <w:r>
        <w:rPr>
          <w:rFonts w:hint="eastAsia" w:cs="Times New Roman"/>
          <w:color w:val="auto"/>
          <w:lang w:val="en-US" w:eastAsia="zh-CN"/>
        </w:rPr>
        <w:t>3</w:t>
      </w:r>
      <w:r>
        <w:rPr>
          <w:rFonts w:hint="default" w:ascii="Times New Roman" w:hAnsi="Times New Roman" w:cs="Times New Roman"/>
          <w:color w:val="auto"/>
        </w:rPr>
        <w:t>位字母）+时间戳（1</w:t>
      </w:r>
      <w:r>
        <w:rPr>
          <w:rFonts w:hint="eastAsia" w:cs="Times New Roman"/>
          <w:color w:val="auto"/>
          <w:lang w:val="en-US" w:eastAsia="zh-CN"/>
        </w:rPr>
        <w:t>7</w:t>
      </w:r>
      <w:r>
        <w:rPr>
          <w:rFonts w:hint="default" w:ascii="Times New Roman" w:hAnsi="Times New Roman" w:cs="Times New Roman"/>
          <w:color w:val="auto"/>
        </w:rPr>
        <w:t>位数字，YYYYMMDDHHMMSSSSS）+风险等级码（1位数字，0-9，0为无风险</w:t>
      </w:r>
      <w:r>
        <w:rPr>
          <w:rFonts w:hint="eastAsia" w:ascii="Times New Roman" w:hAnsi="Times New Roman" w:cs="Times New Roman"/>
          <w:color w:val="auto"/>
          <w:lang w:eastAsia="zh-CN"/>
        </w:rPr>
        <w:t>，1-9风险等级由平台</w:t>
      </w:r>
      <w:r>
        <w:rPr>
          <w:rFonts w:hint="eastAsia" w:ascii="Times New Roman" w:hAnsi="Times New Roman" w:cs="Times New Roman"/>
          <w:color w:val="auto"/>
          <w:lang w:val="en-US" w:eastAsia="zh-CN"/>
        </w:rPr>
        <w:t>定义</w:t>
      </w:r>
      <w:r>
        <w:rPr>
          <w:rFonts w:hint="default" w:ascii="Times New Roman" w:hAnsi="Times New Roman" w:cs="Times New Roman"/>
          <w:color w:val="auto"/>
        </w:rPr>
        <w:t>）+订单流水号（8位数字，按顺序递增）</w:t>
      </w:r>
      <w:r>
        <w:rPr>
          <w:rFonts w:hint="eastAsia" w:ascii="Times New Roman" w:cs="Times New Roman"/>
          <w:color w:val="auto"/>
          <w:lang w:eastAsia="zh-CN"/>
        </w:rPr>
        <w:t>”</w:t>
      </w:r>
      <w:r>
        <w:rPr>
          <w:rFonts w:hint="eastAsia" w:ascii="仿宋" w:hAnsi="仿宋" w:eastAsia="仿宋" w:cs="仿宋"/>
          <w:b w:val="0"/>
          <w:bCs w:val="0"/>
          <w:color w:val="auto"/>
          <w:sz w:val="32"/>
          <w:szCs w:val="24"/>
          <w:lang w:val="en-US" w:eastAsia="zh-CN"/>
        </w:rPr>
        <w:t>。支付交易编码则采用“</w:t>
      </w:r>
      <w:r>
        <w:rPr>
          <w:rFonts w:hint="default" w:ascii="仿宋" w:hAnsi="仿宋" w:eastAsia="仿宋" w:cs="仿宋"/>
          <w:b w:val="0"/>
          <w:bCs w:val="0"/>
          <w:color w:val="auto"/>
          <w:sz w:val="32"/>
          <w:szCs w:val="24"/>
          <w:lang w:val="en-US" w:eastAsia="zh-CN"/>
        </w:rPr>
        <w:t>支付机构代码（3位字母，经监管部门备案）+时间戳（17位数字，精确到毫秒）+风险等级码（1位数字）+流水号（</w:t>
      </w:r>
      <w:r>
        <w:rPr>
          <w:rFonts w:hint="eastAsia" w:ascii="仿宋" w:hAnsi="仿宋" w:eastAsia="仿宋" w:cs="仿宋"/>
          <w:b w:val="0"/>
          <w:bCs w:val="0"/>
          <w:color w:val="auto"/>
          <w:sz w:val="32"/>
          <w:szCs w:val="24"/>
          <w:lang w:val="en-US" w:eastAsia="zh-CN"/>
        </w:rPr>
        <w:t>8</w:t>
      </w:r>
      <w:r>
        <w:rPr>
          <w:rFonts w:hint="default" w:ascii="仿宋" w:hAnsi="仿宋" w:eastAsia="仿宋" w:cs="仿宋"/>
          <w:b w:val="0"/>
          <w:bCs w:val="0"/>
          <w:color w:val="auto"/>
          <w:sz w:val="32"/>
          <w:szCs w:val="24"/>
          <w:lang w:val="en-US" w:eastAsia="zh-CN"/>
        </w:rPr>
        <w:t>位数字）</w:t>
      </w:r>
      <w:r>
        <w:rPr>
          <w:rFonts w:hint="eastAsia" w:ascii="仿宋" w:hAnsi="仿宋" w:eastAsia="仿宋" w:cs="仿宋"/>
          <w:b w:val="0"/>
          <w:bCs w:val="0"/>
          <w:color w:val="auto"/>
          <w:sz w:val="32"/>
          <w:szCs w:val="24"/>
          <w:lang w:val="en-US" w:eastAsia="zh-CN"/>
        </w:rPr>
        <w:t>”。</w:t>
      </w:r>
      <w:r>
        <w:rPr>
          <w:rFonts w:hint="default" w:ascii="仿宋" w:hAnsi="仿宋" w:eastAsia="仿宋" w:cs="仿宋"/>
          <w:b w:val="0"/>
          <w:bCs w:val="0"/>
          <w:color w:val="auto"/>
          <w:sz w:val="32"/>
          <w:szCs w:val="24"/>
          <w:lang w:val="en-US" w:eastAsia="zh-CN"/>
        </w:rPr>
        <w:t>支付机构应建立编码查重机制，通过分布式节点标识辅助确保唯一性，流水号不足时可启用扩展位</w:t>
      </w:r>
      <w:r>
        <w:rPr>
          <w:rFonts w:hint="eastAsia" w:ascii="仿宋" w:hAnsi="仿宋" w:eastAsia="仿宋" w:cs="仿宋"/>
          <w:b w:val="0"/>
          <w:bCs w:val="0"/>
          <w:color w:val="auto"/>
          <w:sz w:val="32"/>
          <w:szCs w:val="24"/>
          <w:lang w:val="en-US" w:eastAsia="zh-CN"/>
        </w:rPr>
        <w:t>。</w:t>
      </w:r>
    </w:p>
    <w:p w14:paraId="38027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用户数据标识分为业务标识与实名标识两类，遵循“去标识化优先、安全可控”原则。业务标识</w:t>
      </w:r>
      <w:r>
        <w:rPr>
          <w:rFonts w:hint="default" w:ascii="仿宋" w:hAnsi="仿宋" w:eastAsia="仿宋" w:cs="仿宋"/>
          <w:b w:val="0"/>
          <w:bCs w:val="0"/>
          <w:color w:val="auto"/>
          <w:sz w:val="32"/>
          <w:szCs w:val="24"/>
          <w:lang w:val="en-US" w:eastAsia="zh-CN"/>
        </w:rPr>
        <w:t>以《GB/T39319-2020》电子商务交易主体统一代码为基础，通过SM4分组密码算法（GB/T32907-2016）生成虚拟标识（如UUID+加密处理），仅用于电子商务平台间数据交互，不直接关联个人敏感信息</w:t>
      </w:r>
      <w:r>
        <w:rPr>
          <w:rFonts w:hint="eastAsia" w:ascii="仿宋" w:hAnsi="仿宋" w:eastAsia="仿宋" w:cs="仿宋"/>
          <w:b w:val="0"/>
          <w:bCs w:val="0"/>
          <w:color w:val="auto"/>
          <w:sz w:val="32"/>
          <w:szCs w:val="24"/>
          <w:lang w:val="en-US" w:eastAsia="zh-CN"/>
        </w:rPr>
        <w:t>；实名标识仅在法律规定的合规场景（如金融核验、监管追溯）下使用，由具备资质的机构通过加密信道传输核验，不作为通用数据交换标识。</w:t>
      </w:r>
      <w:r>
        <w:rPr>
          <w:rFonts w:hint="default" w:ascii="仿宋" w:hAnsi="仿宋" w:eastAsia="仿宋" w:cs="仿宋"/>
          <w:b w:val="0"/>
          <w:bCs w:val="0"/>
          <w:color w:val="auto"/>
          <w:sz w:val="32"/>
          <w:szCs w:val="24"/>
          <w:lang w:val="en-US" w:eastAsia="zh-CN"/>
        </w:rPr>
        <w:t>电子商务交易主体统一代码的构成仍按GB/T39319-2020第4章规定执行，但主体标识码的敏感信息（如公民身份证号）需经加密脱敏后纳入编码管理，原始信息仅留存于合规存储场景</w:t>
      </w:r>
      <w:r>
        <w:rPr>
          <w:rFonts w:hint="eastAsia" w:ascii="仿宋" w:hAnsi="仿宋" w:eastAsia="仿宋" w:cs="仿宋"/>
          <w:b w:val="0"/>
          <w:bCs w:val="0"/>
          <w:color w:val="auto"/>
          <w:sz w:val="32"/>
          <w:szCs w:val="24"/>
          <w:lang w:val="en-US" w:eastAsia="zh-CN"/>
        </w:rPr>
        <w:t>。</w:t>
      </w:r>
    </w:p>
    <w:p w14:paraId="56742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在物流数据标识方面，规范设计了物流单号编码和物流节点编码两套方案。物流单号编码采用“物流企业代码</w:t>
      </w:r>
      <w:r>
        <w:rPr>
          <w:rFonts w:hint="default" w:ascii="Times New Roman" w:hAnsi="Times New Roman" w:cs="Times New Roman"/>
          <w:color w:val="auto"/>
        </w:rPr>
        <w:t>（3位</w:t>
      </w:r>
      <w:r>
        <w:rPr>
          <w:rFonts w:hint="eastAsia" w:cs="Times New Roman"/>
          <w:color w:val="auto"/>
          <w:lang w:val="en-US" w:eastAsia="zh-CN"/>
        </w:rPr>
        <w:t>大写</w:t>
      </w:r>
      <w:r>
        <w:rPr>
          <w:rFonts w:hint="default" w:ascii="Times New Roman" w:hAnsi="Times New Roman" w:cs="Times New Roman"/>
          <w:color w:val="auto"/>
        </w:rPr>
        <w:t>字母）+寄件日期（8位数字，YYYYMMDD）+风险等级码（1位数字）+流水号（</w:t>
      </w:r>
      <w:r>
        <w:rPr>
          <w:rFonts w:hint="eastAsia" w:cs="Times New Roman"/>
          <w:color w:val="auto"/>
          <w:lang w:val="en-US" w:eastAsia="zh-CN"/>
        </w:rPr>
        <w:t>10</w:t>
      </w:r>
      <w:r>
        <w:rPr>
          <w:rFonts w:hint="default" w:ascii="Times New Roman" w:hAnsi="Times New Roman" w:cs="Times New Roman"/>
          <w:color w:val="auto"/>
        </w:rPr>
        <w:t>位数字）</w:t>
      </w:r>
      <w:r>
        <w:rPr>
          <w:rFonts w:hint="eastAsia" w:ascii="Times New Roman" w:cs="Times New Roman"/>
          <w:color w:val="auto"/>
          <w:lang w:eastAsia="zh-CN"/>
        </w:rPr>
        <w:t>”</w:t>
      </w:r>
      <w:r>
        <w:rPr>
          <w:rFonts w:hint="eastAsia" w:ascii="仿宋" w:hAnsi="仿宋" w:eastAsia="仿宋" w:cs="仿宋"/>
          <w:b w:val="0"/>
          <w:bCs w:val="0"/>
          <w:color w:val="auto"/>
          <w:sz w:val="32"/>
          <w:szCs w:val="24"/>
          <w:lang w:val="en-US" w:eastAsia="zh-CN"/>
        </w:rPr>
        <w:t>。物流节点编码则采</w:t>
      </w:r>
      <w:r>
        <w:rPr>
          <w:rFonts w:hint="eastAsia" w:ascii="Times New Roman" w:hAnsi="Times New Roman" w:cs="Times New Roman"/>
          <w:color w:val="auto"/>
          <w:lang w:val="en-US" w:eastAsia="zh-CN"/>
        </w:rPr>
        <w:t>用</w:t>
      </w:r>
      <w:r>
        <w:rPr>
          <w:rFonts w:hint="eastAsia" w:cs="Times New Roman"/>
          <w:color w:val="auto"/>
          <w:lang w:eastAsia="zh-CN"/>
        </w:rPr>
        <w:t>“</w:t>
      </w:r>
      <w:r>
        <w:rPr>
          <w:rFonts w:hint="default" w:ascii="Times New Roman" w:hAnsi="Times New Roman" w:cs="Times New Roman"/>
          <w:color w:val="auto"/>
        </w:rPr>
        <w:t>节点类型（2位大写字母，</w:t>
      </w:r>
      <w:r>
        <w:rPr>
          <w:rFonts w:hint="default" w:ascii="Times New Roman" w:hAnsi="Times New Roman" w:cs="Times New Roman"/>
          <w:color w:val="auto"/>
          <w:lang w:val="en-US" w:eastAsia="zh-CN"/>
        </w:rPr>
        <w:t>CS</w:t>
      </w:r>
      <w:r>
        <w:rPr>
          <w:rFonts w:hint="default" w:ascii="Times New Roman" w:hAnsi="Times New Roman" w:cs="Times New Roman"/>
          <w:color w:val="auto"/>
        </w:rPr>
        <w:t>-收件站、T</w:t>
      </w:r>
      <w:r>
        <w:rPr>
          <w:rFonts w:hint="default" w:ascii="Times New Roman" w:hAnsi="Times New Roman" w:cs="Times New Roman"/>
          <w:color w:val="auto"/>
          <w:lang w:val="en-US" w:eastAsia="zh-CN"/>
        </w:rPr>
        <w:t>S</w:t>
      </w:r>
      <w:r>
        <w:rPr>
          <w:rFonts w:hint="default" w:ascii="Times New Roman" w:hAnsi="Times New Roman" w:cs="Times New Roman"/>
          <w:color w:val="auto"/>
        </w:rPr>
        <w:t>-中转站、</w:t>
      </w:r>
      <w:r>
        <w:rPr>
          <w:rFonts w:hint="default" w:ascii="Times New Roman" w:hAnsi="Times New Roman" w:cs="Times New Roman"/>
          <w:color w:val="auto"/>
          <w:lang w:val="en-US" w:eastAsia="zh-CN"/>
        </w:rPr>
        <w:t>DS</w:t>
      </w:r>
      <w:r>
        <w:rPr>
          <w:rFonts w:hint="default" w:ascii="Times New Roman" w:hAnsi="Times New Roman" w:cs="Times New Roman"/>
          <w:color w:val="auto"/>
        </w:rPr>
        <w:t>-配送站、WC-仓储中心、HA-海关口岸、</w:t>
      </w:r>
      <w:r>
        <w:rPr>
          <w:rFonts w:hint="default" w:ascii="Times New Roman" w:hAnsi="Times New Roman" w:cs="Times New Roman"/>
          <w:color w:val="auto"/>
          <w:lang w:val="en-US" w:eastAsia="zh-CN"/>
        </w:rPr>
        <w:t>PP</w:t>
      </w:r>
      <w:r>
        <w:rPr>
          <w:rFonts w:hint="default" w:ascii="Times New Roman" w:hAnsi="Times New Roman" w:cs="Times New Roman"/>
          <w:color w:val="auto"/>
        </w:rPr>
        <w:t>-代收点等）+GLN全球位置码（13位数字，兼容国际标准）+序号（3位数字）</w:t>
      </w:r>
      <w:r>
        <w:rPr>
          <w:rFonts w:hint="eastAsia" w:cs="Times New Roman"/>
          <w:color w:val="auto"/>
          <w:lang w:eastAsia="zh-CN"/>
        </w:rPr>
        <w:t>”</w:t>
      </w:r>
      <w:r>
        <w:rPr>
          <w:rFonts w:hint="default" w:ascii="Times New Roman" w:hAnsi="Times New Roman" w:cs="Times New Roman"/>
          <w:color w:val="auto"/>
        </w:rPr>
        <w:t>构成</w:t>
      </w:r>
      <w:r>
        <w:rPr>
          <w:rFonts w:hint="eastAsia" w:ascii="Times New Roman" w:hAnsi="Times New Roman" w:cs="Times New Roman"/>
          <w:color w:val="auto"/>
          <w:lang w:val="en-US" w:eastAsia="zh-CN"/>
        </w:rPr>
        <w:t>，</w:t>
      </w:r>
      <w:r>
        <w:rPr>
          <w:rFonts w:hint="eastAsia" w:ascii="仿宋" w:hAnsi="仿宋" w:eastAsia="仿宋" w:cs="仿宋"/>
          <w:b w:val="0"/>
          <w:bCs w:val="0"/>
          <w:color w:val="auto"/>
          <w:sz w:val="32"/>
          <w:szCs w:val="24"/>
          <w:lang w:val="en-US" w:eastAsia="zh-CN"/>
        </w:rPr>
        <w:t>能够唯一标识物流网络中的各个节点，支持物流轨迹的精准追踪。</w:t>
      </w:r>
    </w:p>
    <w:p w14:paraId="37F706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在</w:t>
      </w:r>
      <w:r>
        <w:rPr>
          <w:rFonts w:hint="default" w:ascii="仿宋" w:hAnsi="仿宋" w:eastAsia="仿宋" w:cs="仿宋"/>
          <w:b w:val="0"/>
          <w:bCs w:val="0"/>
          <w:color w:val="auto"/>
          <w:sz w:val="32"/>
          <w:szCs w:val="24"/>
          <w:lang w:val="en-US" w:eastAsia="zh-CN"/>
        </w:rPr>
        <w:t>跨境数据传输标识</w:t>
      </w:r>
      <w:r>
        <w:rPr>
          <w:rFonts w:hint="eastAsia" w:ascii="仿宋" w:hAnsi="仿宋" w:eastAsia="仿宋" w:cs="仿宋"/>
          <w:b w:val="0"/>
          <w:bCs w:val="0"/>
          <w:color w:val="auto"/>
          <w:sz w:val="32"/>
          <w:szCs w:val="24"/>
          <w:lang w:val="en-US" w:eastAsia="zh-CN"/>
        </w:rPr>
        <w:t>方面，</w:t>
      </w:r>
      <w:r>
        <w:rPr>
          <w:rFonts w:hint="default" w:ascii="仿宋" w:hAnsi="仿宋" w:eastAsia="仿宋" w:cs="仿宋"/>
          <w:b w:val="0"/>
          <w:bCs w:val="0"/>
          <w:color w:val="auto"/>
          <w:sz w:val="32"/>
          <w:szCs w:val="24"/>
          <w:lang w:val="en-US" w:eastAsia="zh-CN"/>
        </w:rPr>
        <w:t>涉及跨境流动的商品、交易、用户、物流等数据标识，应在编码首位添加特殊标识码“K”（跨境标识），其余编码规则遵循本文件对应数据类型的编码要求。跨境数据标识仅适用于已</w:t>
      </w:r>
      <w:r>
        <w:rPr>
          <w:rFonts w:hint="eastAsia" w:ascii="仿宋" w:hAnsi="仿宋" w:eastAsia="仿宋" w:cs="仿宋"/>
          <w:b w:val="0"/>
          <w:bCs w:val="0"/>
          <w:color w:val="auto"/>
          <w:sz w:val="32"/>
          <w:szCs w:val="24"/>
          <w:lang w:val="en-US" w:eastAsia="zh-CN"/>
        </w:rPr>
        <w:t>符合</w:t>
      </w:r>
      <w:r>
        <w:rPr>
          <w:rFonts w:hint="default" w:ascii="仿宋" w:hAnsi="仿宋" w:eastAsia="仿宋" w:cs="仿宋"/>
          <w:b w:val="0"/>
          <w:bCs w:val="0"/>
          <w:color w:val="auto"/>
          <w:sz w:val="32"/>
          <w:szCs w:val="24"/>
          <w:lang w:val="en-US" w:eastAsia="zh-CN"/>
        </w:rPr>
        <w:t>《数据出境安全评估办法》</w:t>
      </w:r>
      <w:r>
        <w:rPr>
          <w:rFonts w:hint="eastAsia" w:ascii="仿宋" w:hAnsi="仿宋" w:eastAsia="仿宋" w:cs="仿宋"/>
          <w:b w:val="0"/>
          <w:bCs w:val="0"/>
          <w:color w:val="auto"/>
          <w:sz w:val="32"/>
          <w:szCs w:val="24"/>
          <w:lang w:val="en-US" w:eastAsia="zh-CN"/>
        </w:rPr>
        <w:t>要求</w:t>
      </w:r>
      <w:r>
        <w:rPr>
          <w:rFonts w:hint="default" w:ascii="仿宋" w:hAnsi="仿宋" w:eastAsia="仿宋" w:cs="仿宋"/>
          <w:b w:val="0"/>
          <w:bCs w:val="0"/>
          <w:color w:val="auto"/>
          <w:sz w:val="32"/>
          <w:szCs w:val="24"/>
          <w:lang w:val="en-US" w:eastAsia="zh-CN"/>
        </w:rPr>
        <w:t>通过数据出境安全评估的场景，未通过评估的跨境数据不得使用</w:t>
      </w:r>
      <w:r>
        <w:rPr>
          <w:rFonts w:hint="eastAsia" w:ascii="仿宋" w:hAnsi="仿宋" w:eastAsia="仿宋" w:cs="仿宋"/>
          <w:b w:val="0"/>
          <w:bCs w:val="0"/>
          <w:color w:val="auto"/>
          <w:sz w:val="32"/>
          <w:szCs w:val="24"/>
          <w:lang w:val="en-US" w:eastAsia="zh-CN"/>
        </w:rPr>
        <w:t>。</w:t>
      </w:r>
    </w:p>
    <w:p w14:paraId="1AD2F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在</w:t>
      </w:r>
      <w:r>
        <w:rPr>
          <w:rFonts w:hint="default" w:ascii="仿宋" w:hAnsi="仿宋" w:eastAsia="仿宋" w:cs="仿宋"/>
          <w:b w:val="0"/>
          <w:bCs w:val="0"/>
          <w:color w:val="auto"/>
          <w:sz w:val="32"/>
          <w:szCs w:val="24"/>
          <w:lang w:val="en-US" w:eastAsia="zh-CN"/>
        </w:rPr>
        <w:t>电子发票数据标识编码规则</w:t>
      </w:r>
      <w:r>
        <w:rPr>
          <w:rFonts w:hint="eastAsia" w:ascii="仿宋" w:hAnsi="仿宋" w:eastAsia="仿宋" w:cs="仿宋"/>
          <w:b w:val="0"/>
          <w:bCs w:val="0"/>
          <w:color w:val="auto"/>
          <w:sz w:val="32"/>
          <w:szCs w:val="24"/>
          <w:lang w:val="en-US" w:eastAsia="zh-CN"/>
        </w:rPr>
        <w:t>方面，</w:t>
      </w:r>
      <w:r>
        <w:rPr>
          <w:rFonts w:hint="default" w:ascii="仿宋" w:hAnsi="仿宋" w:eastAsia="仿宋" w:cs="仿宋"/>
          <w:b w:val="0"/>
          <w:bCs w:val="0"/>
          <w:color w:val="auto"/>
          <w:sz w:val="32"/>
          <w:szCs w:val="24"/>
          <w:lang w:val="en-US" w:eastAsia="zh-CN"/>
        </w:rPr>
        <w:t>采用“凭证类型编码（2位字母）+交易订单编码（沿用5.2.2.1）+发票代码（12位数字，遵循税务标准）+校验码（4位字母数字混合）”结构。凭证类型编码：DP（电子普通发票）、DS（电子专用发票）。</w:t>
      </w:r>
    </w:p>
    <w:p w14:paraId="4341C4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在数据交换与共享应用方面，统一的电子商务数据标识标准可打破不同电商平台、物流系统的数据壁垒，实现跨平台数据互联互通。</w:t>
      </w:r>
    </w:p>
    <w:p w14:paraId="7857DF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在数据资产确权与流转规范应用方面，通过数据标识明确数据生成主体、权属归属、使用权限等信息，为数据确权提供依据。在数据流转时，可基于标识记录授权范围、流转轨迹，避免数据滥用，规范数据交易流程。</w:t>
      </w:r>
    </w:p>
    <w:p w14:paraId="4724DE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在数据风险管控与合规监管应用方面，</w:t>
      </w:r>
      <w:r>
        <w:rPr>
          <w:rFonts w:hint="default" w:ascii="仿宋" w:hAnsi="仿宋" w:eastAsia="仿宋" w:cs="仿宋"/>
          <w:b w:val="0"/>
          <w:bCs w:val="0"/>
          <w:color w:val="auto"/>
          <w:sz w:val="32"/>
          <w:szCs w:val="24"/>
          <w:lang w:val="en-US" w:eastAsia="zh-CN"/>
        </w:rPr>
        <w:t>通过标识中的风险等级码，平台可快速识别高风险数据并采取加密、屏蔽等管控措施；监管部门可通过标识追踪数据生成与使用轨迹，对虚假交易、数据泄露等违规行为精准溯源，提升监管效率。</w:t>
      </w:r>
    </w:p>
    <w:p w14:paraId="0743F99F">
      <w:pPr>
        <w:pStyle w:val="17"/>
        <w:rPr>
          <w:rFonts w:hint="default" w:ascii="仿宋" w:hAnsi="仿宋" w:eastAsia="仿宋" w:cs="仿宋"/>
          <w:b w:val="0"/>
          <w:bCs w:val="0"/>
          <w:color w:val="auto"/>
          <w:sz w:val="32"/>
          <w:szCs w:val="24"/>
          <w:lang w:val="en-US"/>
        </w:rPr>
      </w:pPr>
      <w:r>
        <w:rPr>
          <w:rFonts w:hint="eastAsia" w:ascii="仿宋" w:hAnsi="仿宋" w:eastAsia="仿宋" w:cs="仿宋"/>
          <w:b w:val="0"/>
          <w:bCs w:val="0"/>
          <w:color w:val="auto"/>
          <w:sz w:val="32"/>
          <w:szCs w:val="24"/>
          <w:lang w:val="en-US" w:eastAsia="zh-CN"/>
        </w:rPr>
        <w:t>在数据标识维护方面</w:t>
      </w:r>
      <w:r>
        <w:rPr>
          <w:rFonts w:hint="eastAsia" w:ascii="仿宋" w:hAnsi="仿宋" w:eastAsia="仿宋" w:cs="仿宋"/>
          <w:b w:val="0"/>
          <w:bCs w:val="0"/>
          <w:color w:val="auto"/>
          <w:kern w:val="2"/>
          <w:sz w:val="32"/>
          <w:szCs w:val="24"/>
          <w:lang w:val="en-US" w:eastAsia="zh-CN" w:bidi="ar-SA"/>
        </w:rPr>
        <w:t>，</w:t>
      </w:r>
      <w:r>
        <w:rPr>
          <w:rFonts w:hint="default" w:ascii="仿宋" w:hAnsi="仿宋" w:eastAsia="仿宋" w:cs="仿宋"/>
          <w:b w:val="0"/>
          <w:bCs w:val="0"/>
          <w:color w:val="auto"/>
          <w:kern w:val="2"/>
          <w:sz w:val="32"/>
          <w:szCs w:val="24"/>
          <w:lang w:val="en-US" w:eastAsia="zh-CN" w:bidi="ar-SA"/>
        </w:rPr>
        <w:t>每季度或半年对电子商务数据标识进行全面审查，年度开展一次专项复核。</w:t>
      </w:r>
      <w:r>
        <w:rPr>
          <w:rFonts w:hint="eastAsia" w:ascii="仿宋" w:hAnsi="仿宋" w:eastAsia="仿宋" w:cs="仿宋"/>
          <w:b w:val="0"/>
          <w:bCs w:val="0"/>
          <w:color w:val="auto"/>
          <w:kern w:val="2"/>
          <w:sz w:val="32"/>
          <w:szCs w:val="24"/>
          <w:lang w:val="en-US" w:eastAsia="zh-CN" w:bidi="ar-SA"/>
        </w:rPr>
        <w:t>代码发放时平台经</w:t>
      </w:r>
      <w:r>
        <w:rPr>
          <w:rFonts w:hint="eastAsia" w:ascii="仿宋" w:hAnsi="仿宋" w:eastAsia="仿宋" w:cs="仿宋"/>
          <w:b w:val="0"/>
          <w:bCs w:val="0"/>
          <w:color w:val="auto"/>
          <w:sz w:val="32"/>
          <w:szCs w:val="24"/>
          <w:lang w:val="en-US" w:eastAsia="zh-CN"/>
        </w:rPr>
        <w:t>营者需对接系统核验并记录；代码变更时按新主体处理并留存原代码；定期审查以清理无效编码。同时，</w:t>
      </w:r>
      <w:r>
        <w:rPr>
          <w:rFonts w:hint="default" w:ascii="仿宋" w:hAnsi="仿宋" w:eastAsia="仿宋" w:cs="仿宋"/>
          <w:b w:val="0"/>
          <w:bCs w:val="0"/>
          <w:color w:val="auto"/>
          <w:sz w:val="32"/>
          <w:szCs w:val="24"/>
          <w:lang w:val="en-US" w:eastAsia="zh-CN"/>
        </w:rPr>
        <w:t>数据标识应覆盖数据采集、存储、使用、传输、销毁全生命周期</w:t>
      </w:r>
      <w:r>
        <w:rPr>
          <w:rFonts w:hint="eastAsia" w:ascii="仿宋" w:hAnsi="仿宋" w:eastAsia="仿宋" w:cs="仿宋"/>
          <w:b w:val="0"/>
          <w:bCs w:val="0"/>
          <w:color w:val="auto"/>
          <w:sz w:val="32"/>
          <w:szCs w:val="24"/>
          <w:lang w:val="en-US" w:eastAsia="zh-CN"/>
        </w:rPr>
        <w:t>。</w:t>
      </w:r>
    </w:p>
    <w:p w14:paraId="7025AB51">
      <w:pPr>
        <w:pStyle w:val="3"/>
        <w:numPr>
          <w:ilvl w:val="0"/>
          <w:numId w:val="2"/>
        </w:numPr>
        <w:bidi w:val="0"/>
        <w:rPr>
          <w:rFonts w:hint="eastAsia"/>
          <w:color w:val="auto"/>
        </w:rPr>
      </w:pPr>
      <w:r>
        <w:rPr>
          <w:rFonts w:hint="eastAsia"/>
          <w:color w:val="auto"/>
        </w:rPr>
        <w:t>主要试验（或验证）情况分析</w:t>
      </w:r>
    </w:p>
    <w:p w14:paraId="6286AA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24"/>
          <w:lang w:val="en-US" w:eastAsia="zh-CN"/>
        </w:rPr>
      </w:pPr>
      <w:r>
        <w:rPr>
          <w:rFonts w:hint="eastAsia" w:ascii="仿宋" w:hAnsi="仿宋" w:eastAsia="仿宋" w:cs="仿宋"/>
          <w:b w:val="0"/>
          <w:bCs w:val="0"/>
          <w:color w:val="auto"/>
          <w:sz w:val="32"/>
          <w:szCs w:val="24"/>
          <w:lang w:val="en-US" w:eastAsia="zh-CN"/>
        </w:rPr>
        <w:t>在本标准的研制过程中，多家企业作为标准的制定主体和实施主体参与了调研和讨论，并对标准内容进行了实践验证。验证范围覆盖平台型电商、品牌自营电商、仓储物流、支付结算、广告营销等关键业务环节；企业规模涵盖大中小型，既有龙头企业也有成长型企业；地域涵盖长三角、珠三角、京津冀、中部、西部电子商务活跃区域。表1列举了其中5家具有代表性的验证企业，本标准在这些企业验证后，适用性和实操性得到了充分肯定。验证单位表示，本标准与《电子商务法》以及快递、支付等相关标准协调一致，对统一电子商务数据标识标准、保障电子商务数据交互流畅、强化电子商务数据管理效能和推动电子商务行业高质量发展具有显著的技术支撑作用。</w:t>
      </w:r>
    </w:p>
    <w:p w14:paraId="072D47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表1 标准验证情况</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783"/>
        <w:gridCol w:w="1479"/>
      </w:tblGrid>
      <w:tr w14:paraId="1B5B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3E8EA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验证企业</w:t>
            </w:r>
          </w:p>
        </w:tc>
        <w:tc>
          <w:tcPr>
            <w:tcW w:w="2130" w:type="dxa"/>
          </w:tcPr>
          <w:p w14:paraId="07D703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企业类型</w:t>
            </w:r>
          </w:p>
        </w:tc>
        <w:tc>
          <w:tcPr>
            <w:tcW w:w="2783" w:type="dxa"/>
          </w:tcPr>
          <w:p w14:paraId="285ADE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验证内容</w:t>
            </w:r>
          </w:p>
        </w:tc>
        <w:tc>
          <w:tcPr>
            <w:tcW w:w="1479" w:type="dxa"/>
          </w:tcPr>
          <w:p w14:paraId="66CE65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符合情况</w:t>
            </w:r>
          </w:p>
        </w:tc>
      </w:tr>
      <w:tr w14:paraId="6668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54B1D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color w:val="auto"/>
                <w:sz w:val="24"/>
                <w:szCs w:val="24"/>
              </w:rPr>
              <w:t>福州鲸吞电子商务有限公司</w:t>
            </w:r>
          </w:p>
        </w:tc>
        <w:tc>
          <w:tcPr>
            <w:tcW w:w="2130" w:type="dxa"/>
            <w:vAlign w:val="center"/>
          </w:tcPr>
          <w:p w14:paraId="7E1E0A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平台型电商</w:t>
            </w:r>
          </w:p>
        </w:tc>
        <w:tc>
          <w:tcPr>
            <w:tcW w:w="2783" w:type="dxa"/>
            <w:vAlign w:val="center"/>
          </w:tcPr>
          <w:p w14:paraId="68AD5B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1.术语和定义</w:t>
            </w:r>
          </w:p>
          <w:p w14:paraId="0BA970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"_Toc196297814"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2.数据标识原则</w:t>
            </w:r>
            <w:r>
              <w:rPr>
                <w:rFonts w:hint="eastAsia" w:ascii="仿宋" w:hAnsi="仿宋" w:eastAsia="仿宋" w:cs="仿宋"/>
                <w:b w:val="0"/>
                <w:bCs w:val="0"/>
                <w:color w:val="auto"/>
                <w:sz w:val="24"/>
                <w:szCs w:val="24"/>
                <w:vertAlign w:val="baseline"/>
                <w:lang w:val="en-US" w:eastAsia="zh-CN"/>
              </w:rPr>
              <w:fldChar w:fldCharType="end"/>
            </w:r>
          </w:p>
          <w:p w14:paraId="065B44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"_Toc196297815"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3.数据标识规则</w:t>
            </w:r>
            <w:r>
              <w:rPr>
                <w:rFonts w:hint="eastAsia" w:ascii="仿宋" w:hAnsi="仿宋" w:eastAsia="仿宋" w:cs="仿宋"/>
                <w:b w:val="0"/>
                <w:bCs w:val="0"/>
                <w:color w:val="auto"/>
                <w:sz w:val="24"/>
                <w:szCs w:val="24"/>
                <w:vertAlign w:val="baseline"/>
                <w:lang w:val="en-US" w:eastAsia="zh-CN"/>
              </w:rPr>
              <w:fldChar w:fldCharType="end"/>
            </w:r>
          </w:p>
          <w:p w14:paraId="1D281B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"_Toc196297816"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4.数据标识应用</w:t>
            </w:r>
            <w:r>
              <w:rPr>
                <w:rFonts w:hint="eastAsia" w:ascii="仿宋" w:hAnsi="仿宋" w:eastAsia="仿宋" w:cs="仿宋"/>
                <w:b w:val="0"/>
                <w:bCs w:val="0"/>
                <w:color w:val="auto"/>
                <w:sz w:val="24"/>
                <w:szCs w:val="24"/>
                <w:vertAlign w:val="baseline"/>
                <w:lang w:val="en-US" w:eastAsia="zh-CN"/>
              </w:rPr>
              <w:fldChar w:fldCharType="end"/>
            </w:r>
          </w:p>
          <w:p w14:paraId="4B9451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"_Toc196297817"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5.数据标识维护</w:t>
            </w:r>
            <w:r>
              <w:rPr>
                <w:rFonts w:hint="eastAsia" w:ascii="仿宋" w:hAnsi="仿宋" w:eastAsia="仿宋" w:cs="仿宋"/>
                <w:b w:val="0"/>
                <w:bCs w:val="0"/>
                <w:color w:val="auto"/>
                <w:sz w:val="24"/>
                <w:szCs w:val="24"/>
                <w:vertAlign w:val="baseline"/>
                <w:lang w:val="en-US" w:eastAsia="zh-CN"/>
              </w:rPr>
              <w:tab/>
            </w:r>
            <w:r>
              <w:rPr>
                <w:rFonts w:hint="eastAsia" w:ascii="仿宋" w:hAnsi="仿宋" w:eastAsia="仿宋" w:cs="仿宋"/>
                <w:b w:val="0"/>
                <w:bCs w:val="0"/>
                <w:color w:val="auto"/>
                <w:sz w:val="24"/>
                <w:szCs w:val="24"/>
                <w:vertAlign w:val="baseline"/>
                <w:lang w:val="en-US" w:eastAsia="zh-CN"/>
              </w:rPr>
              <w:fldChar w:fldCharType="end"/>
            </w:r>
          </w:p>
        </w:tc>
        <w:tc>
          <w:tcPr>
            <w:tcW w:w="1479" w:type="dxa"/>
            <w:vAlign w:val="center"/>
          </w:tcPr>
          <w:p w14:paraId="40D130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符合</w:t>
            </w:r>
          </w:p>
        </w:tc>
      </w:tr>
      <w:tr w14:paraId="2E19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B8850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color w:val="auto"/>
                <w:sz w:val="24"/>
                <w:szCs w:val="24"/>
              </w:rPr>
              <w:t>泉州潮仔鞋业有限公司</w:t>
            </w:r>
          </w:p>
        </w:tc>
        <w:tc>
          <w:tcPr>
            <w:tcW w:w="2130" w:type="dxa"/>
            <w:vAlign w:val="center"/>
          </w:tcPr>
          <w:p w14:paraId="310081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品牌自营电商</w:t>
            </w:r>
          </w:p>
        </w:tc>
        <w:tc>
          <w:tcPr>
            <w:tcW w:w="2783" w:type="dxa"/>
          </w:tcPr>
          <w:p w14:paraId="0A9BED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1.术语和定义</w:t>
            </w:r>
          </w:p>
          <w:p w14:paraId="12112D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"_Toc196297814"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2.数据标识原则</w:t>
            </w:r>
            <w:r>
              <w:rPr>
                <w:rFonts w:hint="eastAsia" w:ascii="仿宋" w:hAnsi="仿宋" w:eastAsia="仿宋" w:cs="仿宋"/>
                <w:b w:val="0"/>
                <w:bCs w:val="0"/>
                <w:color w:val="auto"/>
                <w:sz w:val="24"/>
                <w:szCs w:val="24"/>
                <w:vertAlign w:val="baseline"/>
                <w:lang w:val="en-US" w:eastAsia="zh-CN"/>
              </w:rPr>
              <w:fldChar w:fldCharType="end"/>
            </w:r>
          </w:p>
          <w:p w14:paraId="09F498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"_Toc196297815"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3.数据标识规则</w:t>
            </w:r>
            <w:r>
              <w:rPr>
                <w:rFonts w:hint="eastAsia" w:ascii="仿宋" w:hAnsi="仿宋" w:eastAsia="仿宋" w:cs="仿宋"/>
                <w:b w:val="0"/>
                <w:bCs w:val="0"/>
                <w:color w:val="auto"/>
                <w:sz w:val="24"/>
                <w:szCs w:val="24"/>
                <w:vertAlign w:val="baseline"/>
                <w:lang w:val="en-US" w:eastAsia="zh-CN"/>
              </w:rPr>
              <w:fldChar w:fldCharType="end"/>
            </w:r>
          </w:p>
          <w:p w14:paraId="438B2A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"_Toc196297816"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4.数据标识应用</w:t>
            </w:r>
            <w:r>
              <w:rPr>
                <w:rFonts w:hint="eastAsia" w:ascii="仿宋" w:hAnsi="仿宋" w:eastAsia="仿宋" w:cs="仿宋"/>
                <w:b w:val="0"/>
                <w:bCs w:val="0"/>
                <w:color w:val="auto"/>
                <w:sz w:val="24"/>
                <w:szCs w:val="24"/>
                <w:vertAlign w:val="baseline"/>
                <w:lang w:val="en-US" w:eastAsia="zh-CN"/>
              </w:rPr>
              <w:fldChar w:fldCharType="end"/>
            </w:r>
          </w:p>
          <w:p w14:paraId="3295B0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"_Toc196297817"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5.数据标识维护</w:t>
            </w:r>
            <w:r>
              <w:rPr>
                <w:rFonts w:hint="eastAsia" w:ascii="仿宋" w:hAnsi="仿宋" w:eastAsia="仿宋" w:cs="仿宋"/>
                <w:b w:val="0"/>
                <w:bCs w:val="0"/>
                <w:color w:val="auto"/>
                <w:sz w:val="24"/>
                <w:szCs w:val="24"/>
                <w:vertAlign w:val="baseline"/>
                <w:lang w:val="en-US" w:eastAsia="zh-CN"/>
              </w:rPr>
              <w:tab/>
            </w:r>
            <w:r>
              <w:rPr>
                <w:rFonts w:hint="eastAsia" w:ascii="仿宋" w:hAnsi="仿宋" w:eastAsia="仿宋" w:cs="仿宋"/>
                <w:b w:val="0"/>
                <w:bCs w:val="0"/>
                <w:color w:val="auto"/>
                <w:sz w:val="24"/>
                <w:szCs w:val="24"/>
                <w:vertAlign w:val="baseline"/>
                <w:lang w:val="en-US" w:eastAsia="zh-CN"/>
              </w:rPr>
              <w:fldChar w:fldCharType="end"/>
            </w:r>
          </w:p>
        </w:tc>
        <w:tc>
          <w:tcPr>
            <w:tcW w:w="1479" w:type="dxa"/>
            <w:vAlign w:val="center"/>
          </w:tcPr>
          <w:p w14:paraId="64F5C6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符合</w:t>
            </w:r>
          </w:p>
        </w:tc>
      </w:tr>
      <w:tr w14:paraId="570C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21C55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color w:val="auto"/>
                <w:sz w:val="24"/>
                <w:szCs w:val="24"/>
              </w:rPr>
              <w:t>瑞安市佳达鞋业有限公司</w:t>
            </w:r>
          </w:p>
        </w:tc>
        <w:tc>
          <w:tcPr>
            <w:tcW w:w="2130" w:type="dxa"/>
            <w:vAlign w:val="center"/>
          </w:tcPr>
          <w:p w14:paraId="079843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color w:val="auto"/>
                <w:sz w:val="24"/>
                <w:szCs w:val="24"/>
              </w:rPr>
              <w:t>品牌自营电商</w:t>
            </w:r>
          </w:p>
        </w:tc>
        <w:tc>
          <w:tcPr>
            <w:tcW w:w="2783" w:type="dxa"/>
          </w:tcPr>
          <w:p w14:paraId="23709D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1.术语和定义</w:t>
            </w:r>
          </w:p>
          <w:p w14:paraId="1E8124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"_Toc196297814"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2.数据标识原则</w:t>
            </w:r>
            <w:r>
              <w:rPr>
                <w:rFonts w:hint="eastAsia" w:ascii="仿宋" w:hAnsi="仿宋" w:eastAsia="仿宋" w:cs="仿宋"/>
                <w:b w:val="0"/>
                <w:bCs w:val="0"/>
                <w:color w:val="auto"/>
                <w:sz w:val="24"/>
                <w:szCs w:val="24"/>
                <w:vertAlign w:val="baseline"/>
                <w:lang w:val="en-US" w:eastAsia="zh-CN"/>
              </w:rPr>
              <w:fldChar w:fldCharType="end"/>
            </w:r>
          </w:p>
          <w:p w14:paraId="0E20F5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"_Toc196297815"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3.数据标识规则</w:t>
            </w:r>
            <w:r>
              <w:rPr>
                <w:rFonts w:hint="eastAsia" w:ascii="仿宋" w:hAnsi="仿宋" w:eastAsia="仿宋" w:cs="仿宋"/>
                <w:b w:val="0"/>
                <w:bCs w:val="0"/>
                <w:color w:val="auto"/>
                <w:sz w:val="24"/>
                <w:szCs w:val="24"/>
                <w:vertAlign w:val="baseline"/>
                <w:lang w:val="en-US" w:eastAsia="zh-CN"/>
              </w:rPr>
              <w:fldChar w:fldCharType="end"/>
            </w:r>
          </w:p>
          <w:p w14:paraId="3B03E5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"_Toc196297816"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4.数据标识应用</w:t>
            </w:r>
            <w:r>
              <w:rPr>
                <w:rFonts w:hint="eastAsia" w:ascii="仿宋" w:hAnsi="仿宋" w:eastAsia="仿宋" w:cs="仿宋"/>
                <w:b w:val="0"/>
                <w:bCs w:val="0"/>
                <w:color w:val="auto"/>
                <w:sz w:val="24"/>
                <w:szCs w:val="24"/>
                <w:vertAlign w:val="baseline"/>
                <w:lang w:val="en-US" w:eastAsia="zh-CN"/>
              </w:rPr>
              <w:fldChar w:fldCharType="end"/>
            </w:r>
          </w:p>
          <w:p w14:paraId="45DBF6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"_Toc196297817"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5.数据标识维护</w:t>
            </w:r>
            <w:r>
              <w:rPr>
                <w:rFonts w:hint="eastAsia" w:ascii="仿宋" w:hAnsi="仿宋" w:eastAsia="仿宋" w:cs="仿宋"/>
                <w:b w:val="0"/>
                <w:bCs w:val="0"/>
                <w:color w:val="auto"/>
                <w:sz w:val="24"/>
                <w:szCs w:val="24"/>
                <w:vertAlign w:val="baseline"/>
                <w:lang w:val="en-US" w:eastAsia="zh-CN"/>
              </w:rPr>
              <w:tab/>
            </w:r>
            <w:r>
              <w:rPr>
                <w:rFonts w:hint="eastAsia" w:ascii="仿宋" w:hAnsi="仿宋" w:eastAsia="仿宋" w:cs="仿宋"/>
                <w:b w:val="0"/>
                <w:bCs w:val="0"/>
                <w:color w:val="auto"/>
                <w:sz w:val="24"/>
                <w:szCs w:val="24"/>
                <w:vertAlign w:val="baseline"/>
                <w:lang w:val="en-US" w:eastAsia="zh-CN"/>
              </w:rPr>
              <w:fldChar w:fldCharType="end"/>
            </w:r>
          </w:p>
        </w:tc>
        <w:tc>
          <w:tcPr>
            <w:tcW w:w="1479" w:type="dxa"/>
            <w:vAlign w:val="center"/>
          </w:tcPr>
          <w:p w14:paraId="340E7A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符合</w:t>
            </w:r>
          </w:p>
        </w:tc>
      </w:tr>
      <w:tr w14:paraId="3119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53DB3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color w:val="auto"/>
                <w:sz w:val="24"/>
                <w:szCs w:val="24"/>
              </w:rPr>
              <w:t>福州冠诚智创数字科技有限公司</w:t>
            </w:r>
          </w:p>
        </w:tc>
        <w:tc>
          <w:tcPr>
            <w:tcW w:w="2130" w:type="dxa"/>
            <w:vAlign w:val="center"/>
          </w:tcPr>
          <w:p w14:paraId="4417E1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第三方服务商</w:t>
            </w:r>
          </w:p>
        </w:tc>
        <w:tc>
          <w:tcPr>
            <w:tcW w:w="2783" w:type="dxa"/>
            <w:vAlign w:val="top"/>
          </w:tcPr>
          <w:p w14:paraId="1A1B06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1.术语和定义</w:t>
            </w:r>
          </w:p>
          <w:p w14:paraId="228A6F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"_Toc196297814"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2.数据标识原则</w:t>
            </w:r>
            <w:r>
              <w:rPr>
                <w:rFonts w:hint="eastAsia" w:ascii="仿宋" w:hAnsi="仿宋" w:eastAsia="仿宋" w:cs="仿宋"/>
                <w:b w:val="0"/>
                <w:bCs w:val="0"/>
                <w:color w:val="auto"/>
                <w:sz w:val="24"/>
                <w:szCs w:val="24"/>
                <w:vertAlign w:val="baseline"/>
                <w:lang w:val="en-US" w:eastAsia="zh-CN"/>
              </w:rPr>
              <w:fldChar w:fldCharType="end"/>
            </w:r>
          </w:p>
          <w:p w14:paraId="209293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"_Toc196297815"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3.数据标识规则</w:t>
            </w:r>
            <w:r>
              <w:rPr>
                <w:rFonts w:hint="eastAsia" w:ascii="仿宋" w:hAnsi="仿宋" w:eastAsia="仿宋" w:cs="仿宋"/>
                <w:b w:val="0"/>
                <w:bCs w:val="0"/>
                <w:color w:val="auto"/>
                <w:sz w:val="24"/>
                <w:szCs w:val="24"/>
                <w:vertAlign w:val="baseline"/>
                <w:lang w:val="en-US" w:eastAsia="zh-CN"/>
              </w:rPr>
              <w:fldChar w:fldCharType="end"/>
            </w:r>
          </w:p>
          <w:p w14:paraId="264FEE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"_Toc196297816"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4.数据标识应用</w:t>
            </w:r>
            <w:r>
              <w:rPr>
                <w:rFonts w:hint="eastAsia" w:ascii="仿宋" w:hAnsi="仿宋" w:eastAsia="仿宋" w:cs="仿宋"/>
                <w:b w:val="0"/>
                <w:bCs w:val="0"/>
                <w:color w:val="auto"/>
                <w:sz w:val="24"/>
                <w:szCs w:val="24"/>
                <w:vertAlign w:val="baseline"/>
                <w:lang w:val="en-US" w:eastAsia="zh-CN"/>
              </w:rPr>
              <w:fldChar w:fldCharType="end"/>
            </w:r>
          </w:p>
          <w:p w14:paraId="24CD9F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"_Toc196297817"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5.数据标识维护</w:t>
            </w:r>
            <w:r>
              <w:rPr>
                <w:rFonts w:hint="eastAsia" w:ascii="仿宋" w:hAnsi="仿宋" w:eastAsia="仿宋" w:cs="仿宋"/>
                <w:b w:val="0"/>
                <w:bCs w:val="0"/>
                <w:color w:val="auto"/>
                <w:sz w:val="24"/>
                <w:szCs w:val="24"/>
                <w:vertAlign w:val="baseline"/>
                <w:lang w:val="en-US" w:eastAsia="zh-CN"/>
              </w:rPr>
              <w:tab/>
            </w:r>
            <w:r>
              <w:rPr>
                <w:rFonts w:hint="eastAsia" w:ascii="仿宋" w:hAnsi="仿宋" w:eastAsia="仿宋" w:cs="仿宋"/>
                <w:b w:val="0"/>
                <w:bCs w:val="0"/>
                <w:color w:val="auto"/>
                <w:sz w:val="24"/>
                <w:szCs w:val="24"/>
                <w:vertAlign w:val="baseline"/>
                <w:lang w:val="en-US" w:eastAsia="zh-CN"/>
              </w:rPr>
              <w:fldChar w:fldCharType="end"/>
            </w:r>
          </w:p>
        </w:tc>
        <w:tc>
          <w:tcPr>
            <w:tcW w:w="1479" w:type="dxa"/>
            <w:vAlign w:val="center"/>
          </w:tcPr>
          <w:p w14:paraId="38E988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符合</w:t>
            </w:r>
          </w:p>
        </w:tc>
      </w:tr>
      <w:tr w14:paraId="7486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9F9E1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color w:val="auto"/>
                <w:sz w:val="24"/>
                <w:szCs w:val="24"/>
              </w:rPr>
              <w:t>东莞市联科标识科技有限公司</w:t>
            </w:r>
          </w:p>
        </w:tc>
        <w:tc>
          <w:tcPr>
            <w:tcW w:w="2130" w:type="dxa"/>
            <w:vAlign w:val="center"/>
          </w:tcPr>
          <w:p w14:paraId="2B10EB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第三方服务商</w:t>
            </w:r>
          </w:p>
        </w:tc>
        <w:tc>
          <w:tcPr>
            <w:tcW w:w="2783" w:type="dxa"/>
            <w:vAlign w:val="top"/>
          </w:tcPr>
          <w:p w14:paraId="5CDA7E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1.术语和定义</w:t>
            </w:r>
          </w:p>
          <w:p w14:paraId="6EDF50F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"_Toc196297814"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2.数据标识原则</w:t>
            </w:r>
            <w:r>
              <w:rPr>
                <w:rFonts w:hint="eastAsia" w:ascii="仿宋" w:hAnsi="仿宋" w:eastAsia="仿宋" w:cs="仿宋"/>
                <w:b w:val="0"/>
                <w:bCs w:val="0"/>
                <w:color w:val="auto"/>
                <w:sz w:val="24"/>
                <w:szCs w:val="24"/>
                <w:vertAlign w:val="baseline"/>
                <w:lang w:val="en-US" w:eastAsia="zh-CN"/>
              </w:rPr>
              <w:fldChar w:fldCharType="end"/>
            </w:r>
          </w:p>
          <w:p w14:paraId="08D86A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"_Toc196297815"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3.数据标识规则</w:t>
            </w:r>
            <w:r>
              <w:rPr>
                <w:rFonts w:hint="eastAsia" w:ascii="仿宋" w:hAnsi="仿宋" w:eastAsia="仿宋" w:cs="仿宋"/>
                <w:b w:val="0"/>
                <w:bCs w:val="0"/>
                <w:color w:val="auto"/>
                <w:sz w:val="24"/>
                <w:szCs w:val="24"/>
                <w:vertAlign w:val="baseline"/>
                <w:lang w:val="en-US" w:eastAsia="zh-CN"/>
              </w:rPr>
              <w:fldChar w:fldCharType="end"/>
            </w:r>
          </w:p>
          <w:p w14:paraId="51302B2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"_Toc196297816"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4.数据标识应用</w:t>
            </w:r>
            <w:r>
              <w:rPr>
                <w:rFonts w:hint="eastAsia" w:ascii="仿宋" w:hAnsi="仿宋" w:eastAsia="仿宋" w:cs="仿宋"/>
                <w:b w:val="0"/>
                <w:bCs w:val="0"/>
                <w:color w:val="auto"/>
                <w:sz w:val="24"/>
                <w:szCs w:val="24"/>
                <w:vertAlign w:val="baseline"/>
                <w:lang w:val="en-US" w:eastAsia="zh-CN"/>
              </w:rPr>
              <w:fldChar w:fldCharType="end"/>
            </w:r>
          </w:p>
          <w:p w14:paraId="1D587F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fldChar w:fldCharType="begin"/>
            </w:r>
            <w:r>
              <w:rPr>
                <w:rFonts w:hint="eastAsia" w:ascii="仿宋" w:hAnsi="仿宋" w:eastAsia="仿宋" w:cs="仿宋"/>
                <w:b w:val="0"/>
                <w:bCs w:val="0"/>
                <w:color w:val="auto"/>
                <w:sz w:val="24"/>
                <w:szCs w:val="24"/>
                <w:vertAlign w:val="baseline"/>
                <w:lang w:val="en-US" w:eastAsia="zh-CN"/>
              </w:rPr>
              <w:instrText xml:space="preserve"> HYPERLINK \l "_Toc196297817" </w:instrText>
            </w:r>
            <w:r>
              <w:rPr>
                <w:rFonts w:hint="eastAsia" w:ascii="仿宋" w:hAnsi="仿宋" w:eastAsia="仿宋" w:cs="仿宋"/>
                <w:b w:val="0"/>
                <w:bCs w:val="0"/>
                <w:color w:val="auto"/>
                <w:sz w:val="24"/>
                <w:szCs w:val="24"/>
                <w:vertAlign w:val="baseline"/>
                <w:lang w:val="en-US" w:eastAsia="zh-CN"/>
              </w:rPr>
              <w:fldChar w:fldCharType="separate"/>
            </w:r>
            <w:r>
              <w:rPr>
                <w:rFonts w:hint="eastAsia" w:ascii="仿宋" w:hAnsi="仿宋" w:eastAsia="仿宋" w:cs="仿宋"/>
                <w:b w:val="0"/>
                <w:bCs w:val="0"/>
                <w:color w:val="auto"/>
                <w:sz w:val="24"/>
                <w:szCs w:val="24"/>
                <w:vertAlign w:val="baseline"/>
                <w:lang w:val="en-US" w:eastAsia="zh-CN"/>
              </w:rPr>
              <w:t>5.数据标识维护</w:t>
            </w:r>
            <w:r>
              <w:rPr>
                <w:rFonts w:hint="eastAsia" w:ascii="仿宋" w:hAnsi="仿宋" w:eastAsia="仿宋" w:cs="仿宋"/>
                <w:b w:val="0"/>
                <w:bCs w:val="0"/>
                <w:color w:val="auto"/>
                <w:sz w:val="24"/>
                <w:szCs w:val="24"/>
                <w:vertAlign w:val="baseline"/>
                <w:lang w:val="en-US" w:eastAsia="zh-CN"/>
              </w:rPr>
              <w:tab/>
            </w:r>
            <w:r>
              <w:rPr>
                <w:rFonts w:hint="eastAsia" w:ascii="仿宋" w:hAnsi="仿宋" w:eastAsia="仿宋" w:cs="仿宋"/>
                <w:b w:val="0"/>
                <w:bCs w:val="0"/>
                <w:color w:val="auto"/>
                <w:sz w:val="24"/>
                <w:szCs w:val="24"/>
                <w:vertAlign w:val="baseline"/>
                <w:lang w:val="en-US" w:eastAsia="zh-CN"/>
              </w:rPr>
              <w:fldChar w:fldCharType="end"/>
            </w:r>
          </w:p>
        </w:tc>
        <w:tc>
          <w:tcPr>
            <w:tcW w:w="1479" w:type="dxa"/>
            <w:vAlign w:val="center"/>
          </w:tcPr>
          <w:p w14:paraId="669938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符合</w:t>
            </w:r>
          </w:p>
        </w:tc>
      </w:tr>
    </w:tbl>
    <w:p w14:paraId="4CE84F56">
      <w:pPr>
        <w:pStyle w:val="2"/>
        <w:bidi w:val="0"/>
        <w:rPr>
          <w:rFonts w:hint="eastAsia"/>
          <w:color w:val="auto"/>
        </w:rPr>
      </w:pPr>
      <w:r>
        <w:rPr>
          <w:rFonts w:hint="eastAsia"/>
          <w:color w:val="auto"/>
        </w:rPr>
        <w:t>三、与国际、国外有关法规和标准水平的比对分析</w:t>
      </w:r>
    </w:p>
    <w:p w14:paraId="315FDC7D">
      <w:pPr>
        <w:pStyle w:val="3"/>
        <w:bidi w:val="0"/>
        <w:rPr>
          <w:rFonts w:hint="eastAsia"/>
          <w:color w:val="auto"/>
          <w:lang w:val="en-US" w:eastAsia="zh-CN"/>
        </w:rPr>
      </w:pPr>
      <w:r>
        <w:rPr>
          <w:rFonts w:hint="eastAsia"/>
          <w:color w:val="auto"/>
          <w:lang w:val="en-US" w:eastAsia="zh-CN"/>
        </w:rPr>
        <w:t>（一）与欧盟法规的对比分析</w:t>
      </w:r>
    </w:p>
    <w:p w14:paraId="579B1CB4">
      <w:pPr>
        <w:spacing w:line="360" w:lineRule="auto"/>
        <w:ind w:firstLine="640" w:firstLineChars="200"/>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欧盟尚未就“电子商务数据标识”制定统一且横向覆盖全行业的专门标准，但其在化学品、消费品、食品等特定领域，已通过产品标签与信息披露制度，在功能上实现了对数据标识的间接规范，并正加快推进标签体系的数字化转型。例如，2024年11月，欧盟颁布第2024/2865号法规，在《物质和混合物分类、标签和包装法规》（CLP）中正式引入数字标签制度，明确了相关实施要求；随后于2025年7月，欧盟委员会进一步发布COM（2025）531号提案，对CLP法规中的部分要求和程序进行优化，持续推进标签管理的现代化进程。</w:t>
      </w:r>
    </w:p>
    <w:p w14:paraId="053EF1A7">
      <w:pPr>
        <w:spacing w:line="360" w:lineRule="auto"/>
        <w:ind w:firstLine="640" w:firstLineChars="200"/>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与中国《电子商务数据标识规范》相比，欧盟CLP法规更加聚焦于化学品等特定产品的物理与数字标签管理，强调合规披露与风险沟通；而中国的规范则致力于构建覆盖电商全生态链的数据标识体系，适用范围更广、系统性更强，旨在打通从生产到消费的整条数据链。尽管路径不同，欧盟在数字标签方面的制度创新——特别是在数字化联系机制与标签格式简化等方面的实践，为中国在推进数据标识标准化过程中适应数字贸易新形态提供了有益参考。</w:t>
      </w:r>
    </w:p>
    <w:p w14:paraId="6B4639A6">
      <w:pPr>
        <w:pStyle w:val="3"/>
        <w:bidi w:val="0"/>
        <w:rPr>
          <w:rFonts w:hint="eastAsia"/>
          <w:color w:val="auto"/>
          <w:lang w:val="en-US" w:eastAsia="zh-CN"/>
        </w:rPr>
      </w:pPr>
      <w:r>
        <w:rPr>
          <w:rFonts w:hint="eastAsia"/>
          <w:color w:val="auto"/>
          <w:lang w:val="en-US" w:eastAsia="zh-CN"/>
        </w:rPr>
        <w:t>（二）与国际标准组织的标准对比</w:t>
      </w:r>
    </w:p>
    <w:p w14:paraId="23F4E4B6">
      <w:pPr>
        <w:spacing w:line="360" w:lineRule="auto"/>
        <w:ind w:firstLine="640" w:firstLineChars="200"/>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国际标准化组织（ISO）等机构制定了一系列与数据标识相关的标准，如ISO/IEC 11179（元数据注册标准）、ISO 22745（主数据交换技术标准）等。这些国际标准为数据的分类、标识、处理等提供了统一的技术要求和规范。中国的《电子商务数据标识规范》充分吸收了这些国际标准的核心理念，如唯一性、稳定性、可扩展性等原则，均与国际标准保持一致。同时，中国标准在国际通用基础上，结合本国实际进行了本土化创新。</w:t>
      </w:r>
    </w:p>
    <w:p w14:paraId="09BE1E1D">
      <w:pPr>
        <w:spacing w:line="360" w:lineRule="auto"/>
        <w:ind w:firstLine="640" w:firstLineChars="200"/>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在数据安全与隐私保护方面，国际标准ISO/IEC 27001等信息安全管理体系标准为组织的数据安全管理提供了框架和指导。中国的《电子商务数据标识规范》在制定过程中充分考虑了这些国际标准的要求，同时与《网络安全法》、《数据安全法》、《个人信息保护法》等国内法律法规紧密衔接，形成了既符合国际惯例又满足国内监管要求的数据安全保护机制。</w:t>
      </w:r>
    </w:p>
    <w:p w14:paraId="7D9616C4">
      <w:pPr>
        <w:pStyle w:val="3"/>
        <w:bidi w:val="0"/>
        <w:rPr>
          <w:rFonts w:hint="eastAsia"/>
          <w:color w:val="auto"/>
          <w:lang w:val="en-US" w:eastAsia="zh-CN"/>
        </w:rPr>
      </w:pPr>
      <w:r>
        <w:rPr>
          <w:rFonts w:hint="eastAsia"/>
          <w:color w:val="auto"/>
          <w:lang w:val="en-US" w:eastAsia="zh-CN"/>
        </w:rPr>
        <w:t>（三）与美国标准的对比分析</w:t>
      </w:r>
    </w:p>
    <w:p w14:paraId="7BE6C39B">
      <w:pPr>
        <w:spacing w:line="360" w:lineRule="auto"/>
        <w:ind w:firstLine="640" w:firstLineChars="200"/>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美国在电子商务数据标准领域尚未形成统一的国家层面强制规范，其标准化进程主要由市场需求驱动，通过行业共识与实践积累形成了一系列广泛采用的事实标准与行业标准。在数据交换方面，美国较早推广并应用ANSI X.12系列电子商务数据交换标准，为企业间的电子数据交互提供了基础技术支持。在标识体系方面，美国普遍采用GTIN（全球贸易项目代码）、GLN（全球位置码）等国际通用标识符，构建了成熟且跨行业认可的商品与位置编码方案。</w:t>
      </w:r>
    </w:p>
    <w:p w14:paraId="61BED01D">
      <w:pPr>
        <w:spacing w:line="360" w:lineRule="auto"/>
        <w:ind w:firstLine="640" w:firstLineChars="200"/>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相较于美国以市场化、局部化为特征的标准构建路径，中国的《电子商务数据标识规范》展现出更强的系统性与全局性。美国标准多聚焦于特定环节或具体问题，而中国规范则覆盖电子商务全生态链，涵盖交易主体、商品信息、交易行为、用户数据与物流信息等多个维度，构建了统一完整的数据标识框架。这一整体性设计有助于实现电商数据在全链条中的一致管理与顺畅流转，有效规避因标准分散所引发的数据孤岛与交互障碍。</w:t>
      </w:r>
    </w:p>
    <w:p w14:paraId="30C02624">
      <w:pPr>
        <w:pStyle w:val="3"/>
        <w:bidi w:val="0"/>
        <w:rPr>
          <w:rFonts w:hint="eastAsia"/>
          <w:color w:val="auto"/>
          <w:lang w:val="en-US" w:eastAsia="zh-CN"/>
        </w:rPr>
      </w:pPr>
      <w:r>
        <w:rPr>
          <w:rFonts w:hint="eastAsia"/>
          <w:color w:val="auto"/>
          <w:lang w:val="en-US" w:eastAsia="zh-CN"/>
        </w:rPr>
        <w:t>（四）与国际数据交换标准的兼容性</w:t>
      </w:r>
    </w:p>
    <w:p w14:paraId="0F6FE056">
      <w:pPr>
        <w:spacing w:line="360" w:lineRule="auto"/>
        <w:ind w:firstLine="640" w:firstLineChars="200"/>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在数据交换领域，国际上有EDIFACT标准和ANSIX.12系列标准等电子商务数据交换标准，为电子商务数据的标准化处理提供了技术支持。中国的《电子商务数据标识规范》在设计时充分考虑了与这些国际标准的兼容性，确保基于中国规范标识的数据能够与国际接轨。例如，在商品数据标识中，中国的层级式编码结构可以与其它国际分类体系进行映射，支持跨境电子商务的数据交换需求。</w:t>
      </w:r>
    </w:p>
    <w:p w14:paraId="17F39621">
      <w:pPr>
        <w:spacing w:line="360" w:lineRule="auto"/>
        <w:ind w:firstLine="640" w:firstLineChars="200"/>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值得一提的是，中国新修订的《商品二维码》国家标准于2025年7月起正式实施，支持商品信息“一码查全”，符合国际标准，使出口商品也能“一码通行全球”。这一标准与国际标准的接轨，体现了中国标准国际化水平的提升，也为《电子商务数据标识规范》的实施提供了技术支撑。</w:t>
      </w:r>
    </w:p>
    <w:p w14:paraId="1F5A3845">
      <w:pPr>
        <w:spacing w:line="360" w:lineRule="auto"/>
        <w:ind w:firstLine="640" w:firstLineChars="200"/>
        <w:rPr>
          <w:color w:val="auto"/>
        </w:rPr>
      </w:pPr>
      <w:r>
        <w:rPr>
          <w:rFonts w:hint="eastAsia" w:ascii="黑体" w:hAnsi="黑体" w:eastAsia="黑体"/>
          <w:color w:val="auto"/>
          <w:sz w:val="32"/>
          <w:szCs w:val="24"/>
        </w:rPr>
        <w:t>四、与有关现行法律、法规和其他强制性标准的关系，配套推荐性标准的情况</w:t>
      </w:r>
    </w:p>
    <w:p w14:paraId="6FC9A9E4">
      <w:pPr>
        <w:spacing w:line="360" w:lineRule="auto"/>
        <w:ind w:firstLine="640" w:firstLineChars="200"/>
        <w:rPr>
          <w:rFonts w:hint="eastAsia" w:ascii="仿宋" w:hAnsi="仿宋" w:eastAsia="仿宋" w:cs="仿宋"/>
          <w:color w:val="auto"/>
          <w:lang w:eastAsia="zh-CN"/>
        </w:rPr>
      </w:pPr>
      <w:r>
        <w:rPr>
          <w:rFonts w:hint="eastAsia" w:ascii="仿宋" w:hAnsi="仿宋" w:eastAsia="仿宋" w:cs="仿宋"/>
          <w:color w:val="auto"/>
        </w:rPr>
        <w:t>本标准完全契合《数据安全法》《个人信息保护法》《电子商务法》等现行法律法规的立法导向。严格遵循</w:t>
      </w:r>
      <w:r>
        <w:rPr>
          <w:rFonts w:hint="eastAsia" w:ascii="仿宋" w:hAnsi="仿宋" w:eastAsia="仿宋" w:cs="仿宋"/>
          <w:color w:val="auto"/>
          <w:lang w:eastAsia="zh-CN"/>
        </w:rPr>
        <w:t>《</w:t>
      </w:r>
      <w:r>
        <w:rPr>
          <w:rFonts w:hint="eastAsia" w:ascii="仿宋" w:hAnsi="仿宋" w:eastAsia="仿宋" w:cs="仿宋"/>
          <w:color w:val="auto"/>
        </w:rPr>
        <w:t>GB 32100-2015</w:t>
      </w:r>
      <w:r>
        <w:rPr>
          <w:rFonts w:hint="eastAsia" w:ascii="仿宋" w:hAnsi="仿宋" w:eastAsia="仿宋" w:cs="仿宋"/>
          <w:color w:val="auto"/>
          <w:lang w:eastAsia="zh-CN"/>
        </w:rPr>
        <w:t>》</w:t>
      </w:r>
      <w:r>
        <w:rPr>
          <w:rFonts w:hint="eastAsia" w:ascii="仿宋" w:hAnsi="仿宋" w:eastAsia="仿宋" w:cs="仿宋"/>
          <w:color w:val="auto"/>
        </w:rPr>
        <w:t>法人和其他组织统一社会信用代码编码规则、</w:t>
      </w:r>
      <w:r>
        <w:rPr>
          <w:rFonts w:hint="eastAsia" w:ascii="仿宋" w:hAnsi="仿宋" w:eastAsia="仿宋" w:cs="仿宋"/>
          <w:color w:val="auto"/>
          <w:lang w:eastAsia="zh-CN"/>
        </w:rPr>
        <w:t>《</w:t>
      </w:r>
      <w:r>
        <w:rPr>
          <w:rFonts w:hint="eastAsia" w:ascii="仿宋" w:hAnsi="仿宋" w:eastAsia="仿宋" w:cs="仿宋"/>
          <w:color w:val="auto"/>
        </w:rPr>
        <w:t>GB 11643-1999</w:t>
      </w:r>
      <w:r>
        <w:rPr>
          <w:rFonts w:hint="eastAsia" w:ascii="仿宋" w:hAnsi="仿宋" w:eastAsia="仿宋" w:cs="仿宋"/>
          <w:color w:val="auto"/>
          <w:lang w:eastAsia="zh-CN"/>
        </w:rPr>
        <w:t>》</w:t>
      </w:r>
      <w:r>
        <w:rPr>
          <w:rFonts w:hint="eastAsia" w:ascii="仿宋" w:hAnsi="仿宋" w:eastAsia="仿宋" w:cs="仿宋"/>
          <w:color w:val="auto"/>
        </w:rPr>
        <w:t>公民身份号码等强制性国家标准的技术要求，在交易主体标识、编码规则等方面保持一致。与《GB/T 39319-2020》电子商务交易主体统一标识编码规则</w:t>
      </w:r>
      <w:r>
        <w:rPr>
          <w:rFonts w:hint="eastAsia" w:ascii="仿宋" w:hAnsi="仿宋" w:eastAsia="仿宋" w:cs="仿宋"/>
          <w:color w:val="auto"/>
          <w:lang w:eastAsia="zh-CN"/>
        </w:rPr>
        <w:t>、《</w:t>
      </w:r>
      <w:r>
        <w:rPr>
          <w:rFonts w:hint="default" w:ascii="仿宋" w:hAnsi="仿宋" w:eastAsia="仿宋" w:cs="仿宋"/>
          <w:color w:val="auto"/>
        </w:rPr>
        <w:t>GB/T 35273-2020</w:t>
      </w:r>
      <w:r>
        <w:rPr>
          <w:rFonts w:hint="eastAsia" w:ascii="仿宋" w:hAnsi="仿宋" w:eastAsia="仿宋" w:cs="仿宋"/>
          <w:color w:val="auto"/>
          <w:lang w:eastAsia="zh-CN"/>
        </w:rPr>
        <w:t>》</w:t>
      </w:r>
      <w:r>
        <w:rPr>
          <w:rFonts w:hint="default" w:ascii="仿宋" w:hAnsi="仿宋" w:eastAsia="仿宋" w:cs="仿宋"/>
          <w:color w:val="auto"/>
        </w:rPr>
        <w:t>信息安全技术 个人信息安全规范</w:t>
      </w:r>
      <w:r>
        <w:rPr>
          <w:rFonts w:hint="eastAsia" w:ascii="仿宋" w:hAnsi="仿宋" w:eastAsia="仿宋" w:cs="仿宋"/>
          <w:color w:val="auto"/>
        </w:rPr>
        <w:t>等推荐性标准形成互补支撑，共同构建完整的电子商务数据标准化体系，为后续数据确权、交易流通、安全治理等细分领域标准制定提供基础支撑。</w:t>
      </w:r>
    </w:p>
    <w:p w14:paraId="50BD7BAF">
      <w:pPr>
        <w:numPr>
          <w:ilvl w:val="0"/>
          <w:numId w:val="3"/>
        </w:numPr>
        <w:spacing w:line="360" w:lineRule="auto"/>
        <w:ind w:firstLine="640" w:firstLineChars="200"/>
        <w:rPr>
          <w:rFonts w:hint="eastAsia" w:ascii="黑体" w:hAnsi="黑体" w:eastAsia="黑体"/>
          <w:color w:val="auto"/>
          <w:sz w:val="32"/>
          <w:szCs w:val="24"/>
        </w:rPr>
      </w:pPr>
      <w:r>
        <w:rPr>
          <w:rFonts w:hint="eastAsia" w:ascii="黑体" w:hAnsi="黑体" w:eastAsia="黑体"/>
          <w:color w:val="auto"/>
          <w:sz w:val="32"/>
          <w:szCs w:val="24"/>
        </w:rPr>
        <w:t>重大分歧意见的处理过程及依据</w:t>
      </w:r>
    </w:p>
    <w:p w14:paraId="21546E24">
      <w:pPr>
        <w:spacing w:line="360" w:lineRule="auto"/>
        <w:ind w:firstLine="640" w:firstLineChars="200"/>
        <w:rPr>
          <w:rFonts w:hint="eastAsia" w:ascii="仿宋" w:hAnsi="仿宋" w:eastAsia="仿宋" w:cs="仿宋"/>
          <w:color w:val="auto"/>
          <w:lang w:eastAsia="zh-CN"/>
        </w:rPr>
      </w:pPr>
      <w:r>
        <w:rPr>
          <w:rFonts w:hint="eastAsia" w:ascii="仿宋" w:hAnsi="仿宋" w:eastAsia="仿宋" w:cs="仿宋"/>
          <w:color w:val="auto"/>
          <w:lang w:eastAsia="zh-CN"/>
        </w:rPr>
        <w:t>本标准制修订过程中，各相关方未产生重大分歧意见，因此无重大分歧意见的处理过程及依据。</w:t>
      </w:r>
    </w:p>
    <w:p w14:paraId="67E2B6B2">
      <w:pPr>
        <w:numPr>
          <w:ilvl w:val="0"/>
          <w:numId w:val="3"/>
        </w:numPr>
        <w:spacing w:line="360" w:lineRule="auto"/>
        <w:ind w:firstLine="640" w:firstLineChars="200"/>
        <w:rPr>
          <w:rFonts w:hint="eastAsia" w:ascii="黑体" w:hAnsi="黑体" w:eastAsia="黑体" w:cs="Times New Roman"/>
          <w:color w:val="auto"/>
          <w:szCs w:val="24"/>
          <w:lang w:val="en-US" w:eastAsia="zh-CN"/>
        </w:rPr>
      </w:pPr>
      <w:r>
        <w:rPr>
          <w:rFonts w:hint="eastAsia" w:ascii="黑体" w:hAnsi="黑体" w:eastAsia="黑体"/>
          <w:color w:val="auto"/>
          <w:sz w:val="32"/>
          <w:szCs w:val="24"/>
        </w:rPr>
        <w:t>实施标准所需要的技术改造、成本投入、老旧产品退出市场时间、实施标准可能造成的社会影响等因素分析，以及根据这些因素提出的</w:t>
      </w:r>
      <w:r>
        <w:rPr>
          <w:rFonts w:hint="eastAsia" w:ascii="黑体" w:hAnsi="黑体" w:eastAsia="黑体" w:cs="Times New Roman"/>
          <w:color w:val="auto"/>
          <w:szCs w:val="24"/>
          <w:lang w:val="en-US" w:eastAsia="zh-CN"/>
        </w:rPr>
        <w:t>标准实施日期建议</w:t>
      </w:r>
    </w:p>
    <w:p w14:paraId="44AC2140">
      <w:pPr>
        <w:spacing w:line="360" w:lineRule="auto"/>
        <w:ind w:firstLine="640" w:firstLineChars="200"/>
        <w:rPr>
          <w:rFonts w:hint="eastAsia" w:ascii="仿宋" w:hAnsi="仿宋" w:eastAsia="仿宋" w:cs="仿宋"/>
          <w:color w:val="auto"/>
        </w:rPr>
      </w:pPr>
      <w:r>
        <w:rPr>
          <w:rFonts w:hint="eastAsia" w:ascii="仿宋" w:hAnsi="仿宋" w:eastAsia="仿宋" w:cs="仿宋"/>
          <w:color w:val="auto"/>
        </w:rPr>
        <w:t>技术改造方面，现有电商平台、物流企业需对内部数据管理系统进行适配改造，主要涉及编码规则调整等，技术改造难度较低，现有技术团队可完成。成本投入方面，中型企业改造投入预计</w:t>
      </w:r>
      <w:r>
        <w:rPr>
          <w:rFonts w:hint="eastAsia" w:ascii="仿宋" w:hAnsi="仿宋" w:eastAsia="仿宋" w:cs="仿宋"/>
          <w:color w:val="auto"/>
          <w:lang w:val="en-US" w:eastAsia="zh-CN"/>
        </w:rPr>
        <w:t>低于</w:t>
      </w:r>
      <w:r>
        <w:rPr>
          <w:rFonts w:hint="eastAsia" w:ascii="仿宋" w:hAnsi="仿宋" w:eastAsia="仿宋" w:cs="仿宋"/>
          <w:color w:val="auto"/>
        </w:rPr>
        <w:t>10万元，长期来看可降低数据融合与管理成本，投入产出比良好。本标准为推荐性行业标准，不涉及老旧产品退出市场问题，企业可按过渡期逐步完成升级。</w:t>
      </w:r>
    </w:p>
    <w:p w14:paraId="09F4EF61">
      <w:pPr>
        <w:spacing w:line="360" w:lineRule="auto"/>
        <w:ind w:firstLine="640" w:firstLineChars="200"/>
        <w:rPr>
          <w:rFonts w:hint="eastAsia" w:ascii="仿宋" w:hAnsi="仿宋" w:eastAsia="仿宋" w:cs="仿宋"/>
          <w:color w:val="auto"/>
        </w:rPr>
      </w:pPr>
      <w:r>
        <w:rPr>
          <w:rFonts w:hint="eastAsia" w:ascii="仿宋" w:hAnsi="仿宋" w:eastAsia="仿宋" w:cs="仿宋"/>
          <w:color w:val="auto"/>
        </w:rPr>
        <w:t>实施影响方面，标准实施后将统一行业数据标识语言，打破数据壁垒，提升跨平台协作效率，推动电商数据向资产转化，助力数据要素市场化配置。同时，为监管部门提供精准监管工具，保障数据安全与隐私保护，促进行业规范健康发展。</w:t>
      </w:r>
    </w:p>
    <w:p w14:paraId="73E7B7BF">
      <w:pPr>
        <w:spacing w:line="360" w:lineRule="auto"/>
        <w:ind w:firstLine="64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鉴于以上因素，建议发布后6个月以内实施。</w:t>
      </w:r>
    </w:p>
    <w:p w14:paraId="59BEE848">
      <w:pPr>
        <w:numPr>
          <w:ilvl w:val="0"/>
          <w:numId w:val="3"/>
        </w:numPr>
        <w:spacing w:line="360" w:lineRule="auto"/>
        <w:ind w:firstLine="640" w:firstLineChars="200"/>
        <w:rPr>
          <w:rFonts w:hint="eastAsia" w:ascii="黑体" w:hAnsi="黑体" w:eastAsia="黑体"/>
          <w:color w:val="auto"/>
          <w:sz w:val="32"/>
          <w:szCs w:val="24"/>
        </w:rPr>
      </w:pPr>
      <w:r>
        <w:rPr>
          <w:rFonts w:hint="eastAsia" w:ascii="黑体" w:hAnsi="黑体" w:eastAsia="黑体"/>
          <w:color w:val="auto"/>
          <w:sz w:val="32"/>
          <w:szCs w:val="24"/>
        </w:rPr>
        <w:t>实施标准的有关政策措施</w:t>
      </w:r>
    </w:p>
    <w:p w14:paraId="6B2C27AA">
      <w:pPr>
        <w:spacing w:line="360" w:lineRule="auto"/>
        <w:ind w:firstLine="640" w:firstLineChars="200"/>
        <w:rPr>
          <w:rFonts w:hint="default" w:ascii="黑体" w:hAnsi="黑体" w:eastAsia="黑体"/>
          <w:color w:val="auto"/>
          <w:sz w:val="32"/>
          <w:szCs w:val="24"/>
          <w:lang w:val="en-US" w:eastAsia="zh-CN"/>
        </w:rPr>
      </w:pPr>
      <w:r>
        <w:rPr>
          <w:rFonts w:hint="eastAsia" w:ascii="仿宋" w:hAnsi="仿宋" w:eastAsia="仿宋" w:cs="仿宋"/>
          <w:color w:val="auto"/>
          <w:lang w:eastAsia="zh-CN"/>
        </w:rPr>
        <w:t>标准发布后，将由数字商务行业标准化技术委员会（SW/TC</w:t>
      </w:r>
      <w:r>
        <w:rPr>
          <w:rFonts w:hint="eastAsia" w:ascii="仿宋" w:hAnsi="仿宋" w:eastAsia="仿宋" w:cs="仿宋"/>
          <w:color w:val="auto"/>
          <w:u w:val="none"/>
          <w:lang w:eastAsia="zh-CN"/>
        </w:rPr>
        <w:t xml:space="preserve"> </w:t>
      </w:r>
      <w:r>
        <w:rPr>
          <w:rFonts w:hint="eastAsia" w:ascii="仿宋" w:hAnsi="仿宋" w:eastAsia="仿宋" w:cs="仿宋"/>
          <w:color w:val="auto"/>
          <w:u w:val="none"/>
          <w:lang w:val="en-US" w:eastAsia="zh-CN"/>
        </w:rPr>
        <w:t>7</w:t>
      </w:r>
      <w:r>
        <w:rPr>
          <w:rFonts w:hint="eastAsia" w:ascii="仿宋" w:hAnsi="仿宋" w:eastAsia="仿宋" w:cs="仿宋"/>
          <w:color w:val="auto"/>
          <w:lang w:eastAsia="zh-CN"/>
        </w:rPr>
        <w:t>）联合福建商学院等起草单位，开展多维度宣贯推广工作。一是编制《标准实施指南》，细化操作流程与案例；二是面向地方商务主管部门、电商平台、物流企业等开展线上线下培训，覆盖关键技术人员与管理人员；三是建立标准咨询服务机制，通过专人对接、线上答疑等方式，解决实施过程中的技术问题；四是选取典型企业打造示范案例，总结可复制推广的实施经验，推动标准落地见效。</w:t>
      </w:r>
    </w:p>
    <w:p w14:paraId="50FF502E">
      <w:pPr>
        <w:numPr>
          <w:ilvl w:val="0"/>
          <w:numId w:val="3"/>
        </w:numPr>
        <w:spacing w:line="360" w:lineRule="auto"/>
        <w:ind w:firstLine="640" w:firstLineChars="200"/>
        <w:rPr>
          <w:rFonts w:hint="eastAsia" w:ascii="黑体" w:hAnsi="黑体" w:eastAsia="黑体"/>
          <w:color w:val="auto"/>
          <w:sz w:val="32"/>
          <w:szCs w:val="24"/>
        </w:rPr>
      </w:pPr>
      <w:r>
        <w:rPr>
          <w:rFonts w:hint="eastAsia" w:ascii="黑体" w:hAnsi="黑体" w:eastAsia="黑体"/>
          <w:color w:val="auto"/>
          <w:sz w:val="32"/>
          <w:szCs w:val="24"/>
        </w:rPr>
        <w:t>预期达到的社会效益、对产业发展的作用等情况</w:t>
      </w:r>
    </w:p>
    <w:p w14:paraId="4F0DEB97">
      <w:pPr>
        <w:numPr>
          <w:ilvl w:val="0"/>
          <w:numId w:val="0"/>
        </w:numPr>
        <w:spacing w:line="360" w:lineRule="auto"/>
        <w:ind w:firstLine="643" w:firstLineChars="200"/>
        <w:rPr>
          <w:rFonts w:hint="eastAsia" w:ascii="楷体" w:hAnsi="楷体" w:eastAsia="楷体" w:cs="楷体"/>
          <w:b/>
          <w:bCs/>
          <w:color w:val="auto"/>
          <w:lang w:eastAsia="zh-CN"/>
        </w:rPr>
      </w:pPr>
      <w:r>
        <w:rPr>
          <w:rFonts w:hint="eastAsia" w:ascii="楷体" w:hAnsi="楷体" w:eastAsia="楷体" w:cs="楷体"/>
          <w:b/>
          <w:bCs/>
          <w:color w:val="auto"/>
          <w:lang w:eastAsia="zh-CN"/>
        </w:rPr>
        <w:t>（</w:t>
      </w:r>
      <w:r>
        <w:rPr>
          <w:rFonts w:hint="eastAsia" w:ascii="楷体" w:hAnsi="楷体" w:eastAsia="楷体" w:cs="楷体"/>
          <w:b/>
          <w:bCs/>
          <w:color w:val="auto"/>
          <w:lang w:val="en-US" w:eastAsia="zh-CN"/>
        </w:rPr>
        <w:t>一</w:t>
      </w:r>
      <w:r>
        <w:rPr>
          <w:rFonts w:hint="eastAsia" w:ascii="楷体" w:hAnsi="楷体" w:eastAsia="楷体" w:cs="楷体"/>
          <w:b/>
          <w:bCs/>
          <w:color w:val="auto"/>
          <w:lang w:eastAsia="zh-CN"/>
        </w:rPr>
        <w:t>）社会效益预期</w:t>
      </w:r>
    </w:p>
    <w:p w14:paraId="461484C8">
      <w:pPr>
        <w:numPr>
          <w:ilvl w:val="0"/>
          <w:numId w:val="0"/>
        </w:numPr>
        <w:spacing w:line="360" w:lineRule="auto"/>
        <w:ind w:firstLine="640" w:firstLineChars="200"/>
        <w:rPr>
          <w:rFonts w:hint="eastAsia" w:ascii="仿宋" w:hAnsi="仿宋" w:eastAsia="仿宋" w:cs="仿宋"/>
          <w:color w:val="auto"/>
          <w:lang w:eastAsia="zh-CN"/>
        </w:rPr>
      </w:pPr>
      <w:r>
        <w:rPr>
          <w:rFonts w:hint="eastAsia" w:ascii="仿宋" w:hAnsi="仿宋" w:eastAsia="仿宋" w:cs="仿宋"/>
          <w:color w:val="auto"/>
          <w:lang w:eastAsia="zh-CN"/>
        </w:rPr>
        <w:t>在消费者权益保护方面，规范的实施将大幅提升电商交易的透明度和可信度。通过商品数据标识的统一化，消费者可以便捷获取商品的全面信息，包括产地、生产批次等，减少信息不对称导致的消费陷阱。规范中要求的用户数据加密标识，有效防止个人信息泄露和滥用，为消费者隐私安全提供技术保障。</w:t>
      </w:r>
    </w:p>
    <w:p w14:paraId="795F3B1A">
      <w:pPr>
        <w:numPr>
          <w:ilvl w:val="0"/>
          <w:numId w:val="0"/>
        </w:numPr>
        <w:spacing w:line="360" w:lineRule="auto"/>
        <w:ind w:firstLine="640" w:firstLineChars="200"/>
        <w:rPr>
          <w:rFonts w:hint="eastAsia" w:ascii="仿宋" w:hAnsi="仿宋" w:eastAsia="仿宋" w:cs="仿宋"/>
          <w:color w:val="auto"/>
          <w:lang w:eastAsia="zh-CN"/>
        </w:rPr>
      </w:pPr>
      <w:r>
        <w:rPr>
          <w:rFonts w:hint="eastAsia" w:ascii="仿宋" w:hAnsi="仿宋" w:eastAsia="仿宋" w:cs="仿宋"/>
          <w:color w:val="auto"/>
          <w:lang w:eastAsia="zh-CN"/>
        </w:rPr>
        <w:t>在市场秩序规范方面，统一数据标识为监管部门提供了有效的技术手段。通过数据标识，市场监管部门可以实现对电商平台的穿透式监管，精准识别和打击虚假宣传、价格欺诈、销售假冒伪劣商品等违法行为。规范中要求的数据报送制度，使监管部门能够及时掌握网络交易情况，实现风险预警和精准执法。</w:t>
      </w:r>
    </w:p>
    <w:p w14:paraId="10CFD239">
      <w:pPr>
        <w:numPr>
          <w:ilvl w:val="0"/>
          <w:numId w:val="0"/>
        </w:numPr>
        <w:spacing w:line="360" w:lineRule="auto"/>
        <w:ind w:firstLine="640" w:firstLineChars="200"/>
        <w:rPr>
          <w:rFonts w:hint="eastAsia" w:ascii="仿宋" w:hAnsi="仿宋" w:eastAsia="仿宋" w:cs="仿宋"/>
          <w:color w:val="auto"/>
          <w:lang w:eastAsia="zh-CN"/>
        </w:rPr>
      </w:pPr>
      <w:r>
        <w:rPr>
          <w:rFonts w:hint="eastAsia" w:ascii="仿宋" w:hAnsi="仿宋" w:eastAsia="仿宋" w:cs="仿宋"/>
          <w:color w:val="auto"/>
          <w:lang w:eastAsia="zh-CN"/>
        </w:rPr>
        <w:t>在数据安全保障方面，规范通过分类分级标识，帮助企业和监管部门识别敏感数据和重要数据，采取相应的保护措施。统一标识体系支持数据流转轨迹的记录和追踪，便于在发生数据安全事件时快速定位问题源头，采取处置措施。规范中要求数据收集范围与监管目标成比例，避免过度收集个人信息，有效平衡了数据利用与隐私保护的关系。</w:t>
      </w:r>
    </w:p>
    <w:p w14:paraId="6BA90F3A">
      <w:pPr>
        <w:numPr>
          <w:ilvl w:val="0"/>
          <w:numId w:val="0"/>
        </w:numPr>
        <w:spacing w:line="360" w:lineRule="auto"/>
        <w:ind w:firstLine="640" w:firstLineChars="200"/>
        <w:rPr>
          <w:rFonts w:hint="eastAsia" w:ascii="仿宋" w:hAnsi="仿宋" w:eastAsia="仿宋" w:cs="仿宋"/>
          <w:color w:val="auto"/>
          <w:lang w:eastAsia="zh-CN"/>
        </w:rPr>
      </w:pPr>
      <w:r>
        <w:rPr>
          <w:rFonts w:hint="eastAsia" w:ascii="仿宋" w:hAnsi="仿宋" w:eastAsia="仿宋" w:cs="仿宋"/>
          <w:color w:val="auto"/>
          <w:lang w:eastAsia="zh-CN"/>
        </w:rPr>
        <w:t>在社会治理现代化方面，统一数据标识促进了政务数据与电商数据的互联互通，为政府精准施策提供了数据支撑。电商数据作为反映经济运行的重要指标，通过标准化标识和整合分析，可以帮助政府及时掌握消费趋势、区域经济发展状况等宏观信息，提高经济决策的科学性。规范中鼓励政务数据服务与社会共治，支持平台经营者开展身份核实、许可信息验证等工作，形成了政府与企业协同治理的新格局。</w:t>
      </w:r>
    </w:p>
    <w:p w14:paraId="318B60F1">
      <w:pPr>
        <w:numPr>
          <w:ilvl w:val="0"/>
          <w:numId w:val="0"/>
        </w:numPr>
        <w:spacing w:line="360" w:lineRule="auto"/>
        <w:ind w:firstLine="643" w:firstLineChars="200"/>
        <w:rPr>
          <w:rFonts w:hint="eastAsia" w:ascii="楷体" w:hAnsi="楷体" w:eastAsia="楷体" w:cs="楷体"/>
          <w:b/>
          <w:bCs/>
          <w:color w:val="auto"/>
          <w:lang w:eastAsia="zh-CN"/>
        </w:rPr>
      </w:pPr>
      <w:r>
        <w:rPr>
          <w:rFonts w:hint="eastAsia" w:ascii="楷体" w:hAnsi="楷体" w:eastAsia="楷体" w:cs="楷体"/>
          <w:b/>
          <w:bCs/>
          <w:color w:val="auto"/>
          <w:lang w:eastAsia="zh-CN"/>
        </w:rPr>
        <w:t>（</w:t>
      </w:r>
      <w:r>
        <w:rPr>
          <w:rFonts w:hint="eastAsia" w:ascii="楷体" w:hAnsi="楷体" w:eastAsia="楷体" w:cs="楷体"/>
          <w:b/>
          <w:bCs/>
          <w:color w:val="auto"/>
          <w:lang w:val="en-US" w:eastAsia="zh-CN"/>
        </w:rPr>
        <w:t>二</w:t>
      </w:r>
      <w:r>
        <w:rPr>
          <w:rFonts w:hint="eastAsia" w:ascii="楷体" w:hAnsi="楷体" w:eastAsia="楷体" w:cs="楷体"/>
          <w:b/>
          <w:bCs/>
          <w:color w:val="auto"/>
          <w:lang w:eastAsia="zh-CN"/>
        </w:rPr>
        <w:t>）对产业发展的作用</w:t>
      </w:r>
    </w:p>
    <w:p w14:paraId="269A218E">
      <w:pPr>
        <w:numPr>
          <w:ilvl w:val="0"/>
          <w:numId w:val="0"/>
        </w:numPr>
        <w:spacing w:line="360" w:lineRule="auto"/>
        <w:ind w:firstLine="640" w:firstLineChars="200"/>
        <w:rPr>
          <w:rFonts w:hint="eastAsia" w:ascii="仿宋" w:hAnsi="仿宋" w:eastAsia="仿宋" w:cs="仿宋"/>
          <w:color w:val="auto"/>
          <w:lang w:eastAsia="zh-CN"/>
        </w:rPr>
      </w:pPr>
      <w:r>
        <w:rPr>
          <w:rFonts w:hint="eastAsia" w:ascii="仿宋" w:hAnsi="仿宋" w:eastAsia="仿宋" w:cs="仿宋"/>
          <w:color w:val="auto"/>
          <w:lang w:eastAsia="zh-CN"/>
        </w:rPr>
        <w:t>在运营效率与要素市场化层面，统一标识直接消除了系统间的数据转换成本，提升了数据处理与交互效率，使企业能基于标准化数据优化营销、库存与服务。这为数据确权与合规流通提供了技术基础，将激活数据要素价值，推动数据交易市场的健康发展。</w:t>
      </w:r>
    </w:p>
    <w:p w14:paraId="47CB6D4F">
      <w:pPr>
        <w:numPr>
          <w:ilvl w:val="0"/>
          <w:numId w:val="0"/>
        </w:numPr>
        <w:spacing w:line="360" w:lineRule="auto"/>
        <w:ind w:firstLine="640" w:firstLineChars="200"/>
        <w:rPr>
          <w:rFonts w:hint="eastAsia" w:ascii="仿宋" w:hAnsi="仿宋" w:eastAsia="仿宋" w:cs="仿宋"/>
          <w:color w:val="auto"/>
          <w:lang w:eastAsia="zh-CN"/>
        </w:rPr>
      </w:pPr>
      <w:r>
        <w:rPr>
          <w:rFonts w:hint="eastAsia" w:ascii="仿宋" w:hAnsi="仿宋" w:eastAsia="仿宋" w:cs="仿宋"/>
          <w:color w:val="auto"/>
          <w:lang w:eastAsia="zh-CN"/>
        </w:rPr>
        <w:t>在产业协同与生态创新层面，统一标识打通了平台、商家与物流等环节的数据壁垒，实现了信息的</w:t>
      </w:r>
      <w:r>
        <w:rPr>
          <w:rFonts w:hint="eastAsia" w:ascii="仿宋" w:hAnsi="仿宋" w:eastAsia="仿宋" w:cs="仿宋"/>
          <w:color w:val="auto"/>
          <w:lang w:val="en-US" w:eastAsia="zh-CN"/>
        </w:rPr>
        <w:t>高效</w:t>
      </w:r>
      <w:r>
        <w:rPr>
          <w:rFonts w:hint="eastAsia" w:ascii="仿宋" w:hAnsi="仿宋" w:eastAsia="仿宋" w:cs="仿宋"/>
          <w:color w:val="auto"/>
          <w:lang w:eastAsia="zh-CN"/>
        </w:rPr>
        <w:t>流转。这种协同效应不仅提升了当前产业链效率，更驱动整个产业生态的持续创新与价值升级。</w:t>
      </w:r>
    </w:p>
    <w:p w14:paraId="0ABD83C0">
      <w:pPr>
        <w:numPr>
          <w:ilvl w:val="0"/>
          <w:numId w:val="0"/>
        </w:numPr>
        <w:spacing w:line="360" w:lineRule="auto"/>
        <w:ind w:firstLine="640" w:firstLineChars="200"/>
        <w:rPr>
          <w:rFonts w:hint="eastAsia" w:ascii="仿宋" w:hAnsi="仿宋" w:eastAsia="仿宋" w:cs="仿宋"/>
          <w:color w:val="auto"/>
          <w:lang w:eastAsia="zh-CN"/>
        </w:rPr>
      </w:pPr>
      <w:r>
        <w:rPr>
          <w:rFonts w:hint="eastAsia" w:ascii="仿宋" w:hAnsi="仿宋" w:eastAsia="仿宋" w:cs="仿宋"/>
          <w:color w:val="auto"/>
          <w:lang w:eastAsia="zh-CN"/>
        </w:rPr>
        <w:t>在技术创新与国际化发展层面，统一标识为大数据与人工智能提供了可直接利用的“燃料”，加速了技术落地与应用创新。同时，采用国际通用原则的标识规范，使国内电商体系能与全球</w:t>
      </w:r>
      <w:r>
        <w:rPr>
          <w:rFonts w:hint="eastAsia" w:ascii="仿宋" w:hAnsi="仿宋" w:eastAsia="仿宋" w:cs="仿宋"/>
          <w:color w:val="auto"/>
          <w:lang w:val="en-US" w:eastAsia="zh-CN"/>
        </w:rPr>
        <w:t>有效</w:t>
      </w:r>
      <w:r>
        <w:rPr>
          <w:rFonts w:hint="eastAsia" w:ascii="仿宋" w:hAnsi="仿宋" w:eastAsia="仿宋" w:cs="仿宋"/>
          <w:color w:val="auto"/>
          <w:lang w:eastAsia="zh-CN"/>
        </w:rPr>
        <w:t>对接，推动了我国电商行业治理体系的现代化转型。</w:t>
      </w:r>
    </w:p>
    <w:p w14:paraId="20B159F1">
      <w:pPr>
        <w:numPr>
          <w:ilvl w:val="0"/>
          <w:numId w:val="0"/>
        </w:numPr>
        <w:spacing w:line="360" w:lineRule="auto"/>
        <w:ind w:firstLine="640" w:firstLineChars="200"/>
        <w:rPr>
          <w:rFonts w:hint="eastAsia" w:ascii="仿宋" w:hAnsi="仿宋" w:eastAsia="仿宋" w:cs="仿宋"/>
          <w:color w:val="auto"/>
          <w:lang w:eastAsia="zh-CN"/>
        </w:rPr>
      </w:pPr>
      <w:r>
        <w:rPr>
          <w:rFonts w:hint="eastAsia" w:ascii="仿宋" w:hAnsi="仿宋" w:eastAsia="仿宋" w:cs="仿宋"/>
          <w:color w:val="auto"/>
          <w:lang w:eastAsia="zh-CN"/>
        </w:rPr>
        <w:t>总的来说，通过建立统一规范的数据标识体系，不仅能够解决当前电商行业面临的数据治理难题，还能为行业创新发展注入新动能，促进数字经济与实体经济深度融合。</w:t>
      </w:r>
    </w:p>
    <w:p w14:paraId="6B9692BD">
      <w:pPr>
        <w:numPr>
          <w:ilvl w:val="0"/>
          <w:numId w:val="3"/>
        </w:numPr>
        <w:spacing w:line="360" w:lineRule="auto"/>
        <w:ind w:firstLine="640" w:firstLineChars="200"/>
        <w:rPr>
          <w:rFonts w:hint="eastAsia" w:ascii="黑体" w:hAnsi="黑体" w:eastAsia="黑体"/>
          <w:color w:val="auto"/>
          <w:sz w:val="32"/>
          <w:szCs w:val="24"/>
        </w:rPr>
      </w:pPr>
      <w:r>
        <w:rPr>
          <w:rFonts w:hint="eastAsia" w:ascii="黑体" w:hAnsi="黑体" w:eastAsia="黑体"/>
          <w:color w:val="auto"/>
          <w:sz w:val="32"/>
          <w:szCs w:val="24"/>
        </w:rPr>
        <w:t>涉及专利的有关说明</w:t>
      </w:r>
    </w:p>
    <w:p w14:paraId="238B6AB6">
      <w:pPr>
        <w:spacing w:line="360" w:lineRule="auto"/>
        <w:ind w:firstLine="640" w:firstLineChars="200"/>
        <w:rPr>
          <w:rFonts w:hint="eastAsia" w:ascii="仿宋" w:hAnsi="仿宋" w:eastAsia="仿宋" w:cs="仿宋"/>
          <w:color w:val="auto"/>
          <w:sz w:val="32"/>
          <w:szCs w:val="24"/>
        </w:rPr>
      </w:pPr>
      <w:r>
        <w:rPr>
          <w:rFonts w:hint="eastAsia" w:ascii="仿宋" w:hAnsi="仿宋" w:eastAsia="仿宋" w:cs="仿宋"/>
          <w:color w:val="auto"/>
          <w:lang w:eastAsia="zh-CN"/>
        </w:rPr>
        <w:t>本标准不涉及任何专利问题，因此无涉及专利的有关说明。</w:t>
      </w:r>
    </w:p>
    <w:p w14:paraId="0ED59A6F">
      <w:pPr>
        <w:numPr>
          <w:ilvl w:val="0"/>
          <w:numId w:val="3"/>
        </w:numPr>
        <w:spacing w:line="360" w:lineRule="auto"/>
        <w:ind w:firstLine="640" w:firstLineChars="200"/>
        <w:rPr>
          <w:rFonts w:hint="eastAsia" w:ascii="黑体" w:hAnsi="黑体" w:eastAsia="黑体"/>
          <w:color w:val="auto"/>
          <w:sz w:val="32"/>
          <w:szCs w:val="24"/>
        </w:rPr>
      </w:pPr>
      <w:r>
        <w:rPr>
          <w:rFonts w:hint="eastAsia" w:ascii="黑体" w:hAnsi="黑体" w:eastAsia="黑体"/>
          <w:color w:val="auto"/>
          <w:sz w:val="32"/>
          <w:szCs w:val="24"/>
        </w:rPr>
        <w:t>其他应予说明的事项</w:t>
      </w:r>
    </w:p>
    <w:p w14:paraId="7C25914D">
      <w:pPr>
        <w:numPr>
          <w:ilvl w:val="0"/>
          <w:numId w:val="0"/>
        </w:numPr>
        <w:spacing w:line="360" w:lineRule="auto"/>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（一）关于标准名称修改</w:t>
      </w:r>
    </w:p>
    <w:p w14:paraId="1B71AD5D">
      <w:pPr>
        <w:spacing w:line="360" w:lineRule="auto"/>
        <w:ind w:firstLine="640" w:firstLineChars="200"/>
        <w:rPr>
          <w:rFonts w:hint="eastAsia" w:ascii="仿宋" w:hAnsi="仿宋" w:eastAsia="仿宋" w:cs="仿宋"/>
          <w:color w:val="auto"/>
          <w:sz w:val="32"/>
          <w:szCs w:val="24"/>
        </w:rPr>
      </w:pPr>
      <w:r>
        <w:rPr>
          <w:rFonts w:hint="eastAsia" w:ascii="仿宋" w:hAnsi="仿宋" w:eastAsia="仿宋" w:cs="仿宋"/>
          <w:color w:val="auto"/>
          <w:lang w:val="en-US" w:eastAsia="zh-CN"/>
        </w:rPr>
        <w:t>无</w:t>
      </w:r>
      <w:r>
        <w:rPr>
          <w:rFonts w:hint="eastAsia" w:ascii="仿宋" w:hAnsi="仿宋" w:eastAsia="仿宋" w:cs="仿宋"/>
          <w:color w:val="auto"/>
        </w:rPr>
        <w:t>。</w:t>
      </w:r>
    </w:p>
    <w:p w14:paraId="4685BC9F">
      <w:pPr>
        <w:numPr>
          <w:ilvl w:val="0"/>
          <w:numId w:val="0"/>
        </w:numPr>
        <w:spacing w:line="360" w:lineRule="auto"/>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（二）关于对外通报</w:t>
      </w:r>
    </w:p>
    <w:p w14:paraId="3E6A5CE8">
      <w:pPr>
        <w:spacing w:line="360" w:lineRule="auto"/>
        <w:rPr>
          <w:rFonts w:hint="eastAsia" w:eastAsia="仿宋"/>
          <w:color w:val="auto"/>
          <w:lang w:eastAsia="zh-CN"/>
        </w:rPr>
      </w:pPr>
      <w:r>
        <w:rPr>
          <w:rFonts w:hint="eastAsia" w:ascii="仿宋" w:hAnsi="仿宋" w:eastAsia="仿宋" w:cs="仿宋"/>
          <w:color w:val="auto"/>
          <w:sz w:val="32"/>
          <w:szCs w:val="24"/>
          <w:lang w:val="en-US" w:eastAsia="zh-CN"/>
        </w:rPr>
        <w:t>无</w:t>
      </w:r>
      <w:r>
        <w:rPr>
          <w:rFonts w:hint="eastAsia" w:ascii="仿宋" w:hAnsi="仿宋" w:eastAsia="仿宋" w:cs="仿宋"/>
          <w:color w:val="auto"/>
          <w:sz w:val="32"/>
          <w:szCs w:val="24"/>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A1159"/>
    <w:multiLevelType w:val="singleLevel"/>
    <w:tmpl w:val="352A1159"/>
    <w:lvl w:ilvl="0" w:tentative="0">
      <w:start w:val="5"/>
      <w:numFmt w:val="chineseCounting"/>
      <w:suff w:val="nothing"/>
      <w:lvlText w:val="%1、"/>
      <w:lvlJc w:val="left"/>
      <w:rPr>
        <w:rFonts w:hint="eastAsia"/>
      </w:rPr>
    </w:lvl>
  </w:abstractNum>
  <w:abstractNum w:abstractNumId="1">
    <w:nsid w:val="3EC1BA4F"/>
    <w:multiLevelType w:val="singleLevel"/>
    <w:tmpl w:val="3EC1BA4F"/>
    <w:lvl w:ilvl="0" w:tentative="0">
      <w:start w:val="2"/>
      <w:numFmt w:val="chineseCounting"/>
      <w:suff w:val="nothing"/>
      <w:lvlText w:val="（%1）"/>
      <w:lvlJc w:val="left"/>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2"/>
      <w:suff w:val="nothing"/>
      <w:lvlText w:val="%1%2　"/>
      <w:lvlJc w:val="left"/>
      <w:pPr>
        <w:ind w:left="0" w:firstLine="0"/>
      </w:pPr>
      <w:rPr>
        <w:rFonts w:hint="eastAsia" w:ascii="黑体"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20"/>
      <w:suff w:val="nothing"/>
      <w:lvlText w:val="%1%2.%3.%4　"/>
      <w:lvlJc w:val="left"/>
      <w:pPr>
        <w:ind w:left="0" w:firstLine="0"/>
      </w:pPr>
      <w:rPr>
        <w:rFonts w:hint="eastAsia" w:ascii="黑体" w:eastAsia="黑体"/>
        <w:b w:val="0"/>
        <w:i w:val="0"/>
        <w:sz w:val="21"/>
      </w:rPr>
    </w:lvl>
    <w:lvl w:ilvl="4" w:tentative="0">
      <w:start w:val="1"/>
      <w:numFmt w:val="decimal"/>
      <w:pStyle w:val="19"/>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N2Y2YmZjMGIzOGUyMzIzNDk1YTViZTc4OWZiZmIifQ=="/>
  </w:docVars>
  <w:rsids>
    <w:rsidRoot w:val="1EDF4F09"/>
    <w:rsid w:val="03EA7678"/>
    <w:rsid w:val="06964EAD"/>
    <w:rsid w:val="0AC27E84"/>
    <w:rsid w:val="0CC05874"/>
    <w:rsid w:val="0DAD4FC7"/>
    <w:rsid w:val="0DD00B0A"/>
    <w:rsid w:val="0F76748F"/>
    <w:rsid w:val="11096C81"/>
    <w:rsid w:val="11533804"/>
    <w:rsid w:val="117D5082"/>
    <w:rsid w:val="14991958"/>
    <w:rsid w:val="15D50515"/>
    <w:rsid w:val="16485C37"/>
    <w:rsid w:val="16751FEC"/>
    <w:rsid w:val="16AE7DDB"/>
    <w:rsid w:val="189A3025"/>
    <w:rsid w:val="19294A3A"/>
    <w:rsid w:val="19A52D97"/>
    <w:rsid w:val="1A89451A"/>
    <w:rsid w:val="1C26359D"/>
    <w:rsid w:val="1C696CA4"/>
    <w:rsid w:val="1EDF4F09"/>
    <w:rsid w:val="245D76C1"/>
    <w:rsid w:val="2495636C"/>
    <w:rsid w:val="24E44670"/>
    <w:rsid w:val="252C0BAF"/>
    <w:rsid w:val="26BF6E43"/>
    <w:rsid w:val="26FB054E"/>
    <w:rsid w:val="278A3E0D"/>
    <w:rsid w:val="27A346DE"/>
    <w:rsid w:val="28A37E2B"/>
    <w:rsid w:val="292926C9"/>
    <w:rsid w:val="2B0960A6"/>
    <w:rsid w:val="2B3C7D9D"/>
    <w:rsid w:val="2C0003B4"/>
    <w:rsid w:val="2E4F2DC0"/>
    <w:rsid w:val="2EB45EDC"/>
    <w:rsid w:val="2EEF54C6"/>
    <w:rsid w:val="31B12B07"/>
    <w:rsid w:val="33474D36"/>
    <w:rsid w:val="343A43BC"/>
    <w:rsid w:val="34916B65"/>
    <w:rsid w:val="34A80D5B"/>
    <w:rsid w:val="37117566"/>
    <w:rsid w:val="37BF5981"/>
    <w:rsid w:val="382324D3"/>
    <w:rsid w:val="3A504E13"/>
    <w:rsid w:val="3AA24F3E"/>
    <w:rsid w:val="3AD76025"/>
    <w:rsid w:val="405375A6"/>
    <w:rsid w:val="43434813"/>
    <w:rsid w:val="440156B6"/>
    <w:rsid w:val="44D45621"/>
    <w:rsid w:val="45611A6C"/>
    <w:rsid w:val="463C0A7C"/>
    <w:rsid w:val="487C1283"/>
    <w:rsid w:val="489107BC"/>
    <w:rsid w:val="4A216E0F"/>
    <w:rsid w:val="4B9841AF"/>
    <w:rsid w:val="4F1F550A"/>
    <w:rsid w:val="50DC20D3"/>
    <w:rsid w:val="50E92808"/>
    <w:rsid w:val="51BB7449"/>
    <w:rsid w:val="557835CF"/>
    <w:rsid w:val="56B000B5"/>
    <w:rsid w:val="57A2219C"/>
    <w:rsid w:val="583848AE"/>
    <w:rsid w:val="59FD262F"/>
    <w:rsid w:val="5A817A9F"/>
    <w:rsid w:val="5AE879F2"/>
    <w:rsid w:val="5AEB2645"/>
    <w:rsid w:val="5C973861"/>
    <w:rsid w:val="621F354D"/>
    <w:rsid w:val="62BD2F93"/>
    <w:rsid w:val="63B562DA"/>
    <w:rsid w:val="652E32C1"/>
    <w:rsid w:val="66A26BC7"/>
    <w:rsid w:val="68DD7FD5"/>
    <w:rsid w:val="69151CA2"/>
    <w:rsid w:val="69281F46"/>
    <w:rsid w:val="696E70A6"/>
    <w:rsid w:val="6A225386"/>
    <w:rsid w:val="6A7E22B8"/>
    <w:rsid w:val="6AA65821"/>
    <w:rsid w:val="6AB1680B"/>
    <w:rsid w:val="6BF22AAA"/>
    <w:rsid w:val="6CBC734C"/>
    <w:rsid w:val="6ED91361"/>
    <w:rsid w:val="6F033FA1"/>
    <w:rsid w:val="6F053E45"/>
    <w:rsid w:val="6F557E4E"/>
    <w:rsid w:val="6F5B2A80"/>
    <w:rsid w:val="71553B55"/>
    <w:rsid w:val="71E17054"/>
    <w:rsid w:val="726E4E7A"/>
    <w:rsid w:val="72904FC4"/>
    <w:rsid w:val="75FA639F"/>
    <w:rsid w:val="780E431C"/>
    <w:rsid w:val="799D1FC1"/>
    <w:rsid w:val="7AE1332B"/>
    <w:rsid w:val="7B04546D"/>
    <w:rsid w:val="7B140C6B"/>
    <w:rsid w:val="7B1A4C22"/>
    <w:rsid w:val="7B4A6C09"/>
    <w:rsid w:val="7B74065F"/>
    <w:rsid w:val="7BDD1145"/>
    <w:rsid w:val="7D95676D"/>
    <w:rsid w:val="7D9951A4"/>
    <w:rsid w:val="7EDC02B0"/>
    <w:rsid w:val="7FE234B1"/>
    <w:rsid w:val="7FE3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4"/>
    <w:qFormat/>
    <w:uiPriority w:val="0"/>
    <w:pPr>
      <w:keepNext/>
      <w:keepLines/>
      <w:spacing w:line="360" w:lineRule="auto"/>
      <w:ind w:firstLine="720" w:firstLineChars="200"/>
      <w:outlineLvl w:val="0"/>
    </w:pPr>
    <w:rPr>
      <w:rFonts w:eastAsia="黑体" w:asciiTheme="majorAscii" w:hAnsiTheme="majorAscii" w:cstheme="majorBidi"/>
      <w:bCs/>
      <w:color w:val="000000"/>
      <w:szCs w:val="28"/>
      <w:lang w:eastAsia="en-US"/>
    </w:rPr>
  </w:style>
  <w:style w:type="paragraph" w:styleId="3">
    <w:name w:val="heading 2"/>
    <w:basedOn w:val="1"/>
    <w:next w:val="1"/>
    <w:link w:val="15"/>
    <w:unhideWhenUsed/>
    <w:qFormat/>
    <w:uiPriority w:val="0"/>
    <w:pPr>
      <w:keepNext/>
      <w:keepLines/>
      <w:spacing w:line="360" w:lineRule="auto"/>
      <w:ind w:firstLine="480" w:firstLineChars="200"/>
      <w:outlineLvl w:val="1"/>
    </w:pPr>
    <w:rPr>
      <w:rFonts w:eastAsia="楷体" w:asciiTheme="majorAscii" w:hAnsiTheme="majorAscii" w:cstheme="majorBidi"/>
      <w:b/>
      <w:bCs/>
      <w:color w:val="000000"/>
      <w:szCs w:val="26"/>
      <w:lang w:eastAsia="en-US"/>
    </w:rPr>
  </w:style>
  <w:style w:type="paragraph" w:styleId="4">
    <w:name w:val="heading 3"/>
    <w:basedOn w:val="1"/>
    <w:next w:val="1"/>
    <w:link w:val="16"/>
    <w:semiHidden/>
    <w:unhideWhenUsed/>
    <w:qFormat/>
    <w:uiPriority w:val="0"/>
    <w:pPr>
      <w:keepNext/>
      <w:keepLines/>
      <w:ind w:firstLine="480" w:firstLineChars="200"/>
      <w:outlineLvl w:val="2"/>
    </w:pPr>
    <w:rPr>
      <w:rFonts w:eastAsia="仿宋_GB2312" w:asciiTheme="majorAscii" w:hAnsiTheme="majorAscii" w:cstheme="majorBidi"/>
      <w:bCs/>
      <w:color w:val="000000"/>
      <w:sz w:val="32"/>
      <w:szCs w:val="22"/>
      <w:lang w:eastAsia="en-US"/>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pPr>
    <w:rPr>
      <w:rFonts w:ascii="Arial" w:hAnsi="Arial" w:eastAsia="宋体"/>
      <w:sz w:val="2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rPr>
      <w:rFonts w:ascii="宋体"/>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qFormat/>
    <w:uiPriority w:val="99"/>
    <w:rPr>
      <w:rFonts w:ascii="宋体" w:hAnsi="Times New Roman" w:eastAsia="宋体"/>
      <w:color w:val="auto"/>
      <w:spacing w:val="0"/>
      <w:w w:val="100"/>
      <w:position w:val="0"/>
      <w:sz w:val="21"/>
      <w:u w:val="none"/>
      <w:vertAlign w:val="baseline"/>
    </w:rPr>
  </w:style>
  <w:style w:type="character" w:customStyle="1" w:styleId="14">
    <w:name w:val="Heading 1 Char"/>
    <w:basedOn w:val="11"/>
    <w:link w:val="2"/>
    <w:qFormat/>
    <w:uiPriority w:val="9"/>
    <w:rPr>
      <w:rFonts w:eastAsia="黑体" w:asciiTheme="majorAscii" w:hAnsiTheme="majorAscii" w:cstheme="majorBidi"/>
      <w:bCs/>
      <w:color w:val="2E54A1" w:themeColor="accent1" w:themeShade="BF"/>
      <w:sz w:val="32"/>
      <w:szCs w:val="28"/>
      <w:lang w:eastAsia="en-US"/>
    </w:rPr>
  </w:style>
  <w:style w:type="character" w:customStyle="1" w:styleId="15">
    <w:name w:val="Heading 2 Char"/>
    <w:basedOn w:val="11"/>
    <w:link w:val="3"/>
    <w:qFormat/>
    <w:uiPriority w:val="9"/>
    <w:rPr>
      <w:rFonts w:eastAsia="楷体" w:asciiTheme="majorAscii" w:hAnsiTheme="majorAscii" w:cstheme="majorBidi"/>
      <w:b/>
      <w:bCs/>
      <w:color w:val="4874CB" w:themeColor="accent1"/>
      <w:sz w:val="32"/>
      <w:szCs w:val="26"/>
      <w:lang w:eastAsia="en-US"/>
      <w14:textFill>
        <w14:solidFill>
          <w14:schemeClr w14:val="accent1"/>
        </w14:solidFill>
      </w14:textFill>
    </w:rPr>
  </w:style>
  <w:style w:type="character" w:customStyle="1" w:styleId="16">
    <w:name w:val="Heading 3 Char"/>
    <w:basedOn w:val="11"/>
    <w:link w:val="4"/>
    <w:qFormat/>
    <w:uiPriority w:val="9"/>
    <w:rPr>
      <w:rFonts w:eastAsia="仿宋_GB2312" w:asciiTheme="majorAscii" w:hAnsiTheme="majorAscii" w:cstheme="majorBidi"/>
      <w:b/>
      <w:bCs/>
      <w:color w:val="4874CB" w:themeColor="accent1"/>
      <w:sz w:val="32"/>
      <w:szCs w:val="22"/>
      <w:lang w:eastAsia="en-US"/>
      <w14:textFill>
        <w14:solidFill>
          <w14:schemeClr w14:val="accent1"/>
        </w14:solidFill>
      </w14:textFill>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标准文件_三级无标题"/>
    <w:basedOn w:val="19"/>
    <w:qFormat/>
    <w:uiPriority w:val="0"/>
    <w:pPr>
      <w:spacing w:before="0" w:beforeLines="0" w:after="0" w:afterLines="0"/>
      <w:outlineLvl w:val="9"/>
    </w:pPr>
    <w:rPr>
      <w:rFonts w:ascii="宋体" w:eastAsia="宋体"/>
    </w:rPr>
  </w:style>
  <w:style w:type="paragraph" w:customStyle="1" w:styleId="19">
    <w:name w:val="标准文件_三级条标题"/>
    <w:basedOn w:val="20"/>
    <w:next w:val="17"/>
    <w:qFormat/>
    <w:uiPriority w:val="0"/>
    <w:pPr>
      <w:widowControl/>
      <w:numPr>
        <w:ilvl w:val="4"/>
      </w:numPr>
      <w:outlineLvl w:val="3"/>
    </w:pPr>
  </w:style>
  <w:style w:type="paragraph" w:customStyle="1" w:styleId="20">
    <w:name w:val="标准文件_二级条标题"/>
    <w:next w:val="17"/>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1">
    <w:name w:val="标准文件_一级条标题"/>
    <w:basedOn w:val="22"/>
    <w:next w:val="17"/>
    <w:qFormat/>
    <w:uiPriority w:val="0"/>
    <w:pPr>
      <w:numPr>
        <w:ilvl w:val="2"/>
      </w:numPr>
      <w:spacing w:before="50" w:beforeLines="50" w:after="50" w:afterLines="50"/>
      <w:outlineLvl w:val="1"/>
    </w:pPr>
  </w:style>
  <w:style w:type="paragraph" w:customStyle="1" w:styleId="22">
    <w:name w:val="标准文件_章标题"/>
    <w:next w:val="1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9116</Words>
  <Characters>9498</Characters>
  <Lines>0</Lines>
  <Paragraphs>0</Paragraphs>
  <TotalTime>46</TotalTime>
  <ScaleCrop>false</ScaleCrop>
  <LinksUpToDate>false</LinksUpToDate>
  <CharactersWithSpaces>9522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2025-01-16T02:47:00Z</dcterms:created>
  <dc:creator>Jackalyn潘思文</dc:creator>
  <cp:lastModifiedBy>魏仁兴</cp:lastModifiedBy>
  <cp:lastPrinted>2025-06-10T05:54:00Z</cp:lastPrinted>
  <dcterms:modified xsi:type="dcterms:W3CDTF">2026-02-11T06:44:14Z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152E6C0F309741A9B7EE3061E2BD9175_13</vt:lpwstr>
  </property>
  <property fmtid="{D5CDD505-2E9C-101B-9397-08002B2CF9AE}" pid="4" name="KSOTemplateDocerSaveRecord">
    <vt:lpwstr>eyJoZGlkIjoiMjA0YTgwZWU4NzRlMjdhMWRmZjgzMTM1OGRjMmJhZmUiLCJ1c2VySWQiOiI0OTY2MTAwOTYifQ==</vt:lpwstr>
  </property>
</Properties>
</file>